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CB" w:rsidRDefault="00CB3BCB" w:rsidP="009F03C2">
      <w:pPr>
        <w:pStyle w:val="TEXTOBSICO"/>
        <w:spacing w:before="0"/>
        <w:jc w:val="center"/>
        <w:rPr>
          <w:b/>
        </w:rPr>
      </w:pPr>
      <w:r w:rsidRPr="004E379F">
        <w:rPr>
          <w:b/>
        </w:rPr>
        <w:t>§</w:t>
      </w:r>
      <w:r>
        <w:rPr>
          <w:b/>
        </w:rPr>
        <w:t>X</w:t>
      </w:r>
      <w:r w:rsidRPr="004E379F">
        <w:rPr>
          <w:b/>
        </w:rPr>
        <w:t>I.</w:t>
      </w:r>
      <w:r>
        <w:rPr>
          <w:b/>
        </w:rPr>
        <w:t xml:space="preserve">4 </w:t>
      </w:r>
      <w:r w:rsidRPr="00CB3BCB">
        <w:rPr>
          <w:b/>
        </w:rPr>
        <w:t>LEY 7/2022, DE 8 DE ABRIL, DE RESIDUOS Y SUELOS CONTAMINADOS PARA UNA ECONOMÍA CIRCULAR</w:t>
      </w:r>
    </w:p>
    <w:p w:rsidR="00CB3BCB" w:rsidRDefault="00CB3BCB" w:rsidP="009F03C2">
      <w:pPr>
        <w:pStyle w:val="TEXTOBSICO"/>
        <w:spacing w:before="0"/>
        <w:jc w:val="center"/>
        <w:rPr>
          <w:i/>
        </w:rPr>
      </w:pPr>
      <w:r w:rsidRPr="0034155C">
        <w:rPr>
          <w:i/>
        </w:rPr>
        <w:t xml:space="preserve">(BOE </w:t>
      </w:r>
      <w:r>
        <w:rPr>
          <w:i/>
        </w:rPr>
        <w:t>de 9</w:t>
      </w:r>
      <w:r w:rsidRPr="0034155C">
        <w:rPr>
          <w:i/>
        </w:rPr>
        <w:t xml:space="preserve"> de </w:t>
      </w:r>
      <w:r>
        <w:rPr>
          <w:i/>
        </w:rPr>
        <w:t>abril de 2022</w:t>
      </w:r>
      <w:r w:rsidRPr="0034155C">
        <w:rPr>
          <w:i/>
        </w:rPr>
        <w:t>)</w:t>
      </w:r>
    </w:p>
    <w:p w:rsidR="00CB3BCB" w:rsidRDefault="00CB3BCB" w:rsidP="009F03C2">
      <w:pPr>
        <w:pStyle w:val="TEXTOBSICO"/>
        <w:spacing w:before="0"/>
        <w:jc w:val="center"/>
        <w:rPr>
          <w:i/>
        </w:rPr>
      </w:pPr>
      <w:r>
        <w:rPr>
          <w:i/>
        </w:rPr>
        <w:t>(extracto)</w:t>
      </w:r>
    </w:p>
    <w:p w:rsidR="0050515C" w:rsidRPr="00AF04BC" w:rsidRDefault="0050515C" w:rsidP="009F03C2">
      <w:pPr>
        <w:pStyle w:val="TDC1"/>
        <w:tabs>
          <w:tab w:val="right" w:leader="dot" w:pos="8494"/>
        </w:tabs>
        <w:rPr>
          <w:rFonts w:ascii="Times New Roman" w:eastAsiaTheme="minorEastAsia" w:hAnsi="Times New Roman" w:cs="Times New Roman"/>
          <w:noProof/>
          <w:sz w:val="20"/>
          <w:szCs w:val="20"/>
          <w:lang w:eastAsia="es-ES"/>
        </w:rPr>
      </w:pPr>
      <w:r w:rsidRPr="00AF04BC">
        <w:rPr>
          <w:rFonts w:ascii="Times New Roman" w:hAnsi="Times New Roman" w:cs="Times New Roman"/>
          <w:i/>
          <w:sz w:val="20"/>
          <w:szCs w:val="20"/>
        </w:rPr>
        <w:fldChar w:fldCharType="begin"/>
      </w:r>
      <w:r w:rsidRPr="00AF04BC">
        <w:rPr>
          <w:rFonts w:ascii="Times New Roman" w:hAnsi="Times New Roman" w:cs="Times New Roman"/>
          <w:i/>
          <w:sz w:val="20"/>
          <w:szCs w:val="20"/>
        </w:rPr>
        <w:instrText xml:space="preserve"> TOC \h \z \t "ARTICUL;3;CAPÍTULO;2;TÍTULO;1" </w:instrText>
      </w:r>
      <w:r w:rsidRPr="00AF04BC">
        <w:rPr>
          <w:rFonts w:ascii="Times New Roman" w:hAnsi="Times New Roman" w:cs="Times New Roman"/>
          <w:i/>
          <w:sz w:val="20"/>
          <w:szCs w:val="20"/>
        </w:rPr>
        <w:fldChar w:fldCharType="separate"/>
      </w:r>
      <w:hyperlink w:anchor="_Toc130295287" w:history="1">
        <w:r w:rsidRPr="00AF04BC">
          <w:rPr>
            <w:rStyle w:val="Hipervnculo"/>
            <w:rFonts w:ascii="Times New Roman" w:hAnsi="Times New Roman" w:cs="Times New Roman"/>
            <w:noProof/>
            <w:sz w:val="20"/>
            <w:szCs w:val="20"/>
          </w:rPr>
          <w:t>TÍTULO VII</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_Toc130295287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1"/>
        <w:tabs>
          <w:tab w:val="right" w:leader="dot" w:pos="8494"/>
        </w:tabs>
        <w:rPr>
          <w:rFonts w:ascii="Times New Roman" w:eastAsiaTheme="minorEastAsia" w:hAnsi="Times New Roman" w:cs="Times New Roman"/>
          <w:noProof/>
          <w:sz w:val="20"/>
          <w:szCs w:val="20"/>
          <w:lang w:eastAsia="es-ES"/>
        </w:rPr>
      </w:pPr>
      <w:hyperlink w:anchor="_Toc130295288" w:history="1">
        <w:r w:rsidRPr="00AF04BC">
          <w:rPr>
            <w:rStyle w:val="Hipervnculo"/>
            <w:rFonts w:ascii="Times New Roman" w:hAnsi="Times New Roman" w:cs="Times New Roman"/>
            <w:noProof/>
            <w:sz w:val="20"/>
            <w:szCs w:val="20"/>
          </w:rPr>
          <w:t>Medidas fiscales para incentivar la economía circular</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_Toc130295288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2"/>
        <w:tabs>
          <w:tab w:val="right" w:leader="dot" w:pos="8494"/>
        </w:tabs>
        <w:rPr>
          <w:rFonts w:ascii="Times New Roman" w:eastAsiaTheme="minorEastAsia" w:hAnsi="Times New Roman" w:cs="Times New Roman"/>
          <w:noProof/>
          <w:sz w:val="20"/>
          <w:szCs w:val="20"/>
          <w:lang w:eastAsia="es-ES"/>
        </w:rPr>
      </w:pPr>
      <w:hyperlink w:anchor="_Toc130295289" w:history="1">
        <w:r w:rsidRPr="00AF04BC">
          <w:rPr>
            <w:rStyle w:val="Hipervnculo"/>
            <w:rFonts w:ascii="Times New Roman" w:hAnsi="Times New Roman" w:cs="Times New Roman"/>
            <w:noProof/>
            <w:sz w:val="20"/>
            <w:szCs w:val="20"/>
          </w:rPr>
          <w:t>CAPÍTULO I</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_Toc130295289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2"/>
        <w:tabs>
          <w:tab w:val="right" w:leader="dot" w:pos="8494"/>
        </w:tabs>
        <w:ind w:left="0"/>
        <w:rPr>
          <w:rFonts w:ascii="Times New Roman" w:eastAsiaTheme="minorEastAsia" w:hAnsi="Times New Roman" w:cs="Times New Roman"/>
          <w:noProof/>
          <w:sz w:val="20"/>
          <w:szCs w:val="20"/>
          <w:lang w:eastAsia="es-ES"/>
        </w:rPr>
      </w:pPr>
      <w:hyperlink w:anchor="_Toc130295290" w:history="1">
        <w:r w:rsidRPr="00AF04BC">
          <w:rPr>
            <w:rStyle w:val="Hipervnculo"/>
            <w:rFonts w:ascii="Times New Roman" w:hAnsi="Times New Roman" w:cs="Times New Roman"/>
            <w:noProof/>
            <w:sz w:val="20"/>
            <w:szCs w:val="20"/>
          </w:rPr>
          <w:t>Impuesto especial sobre los envases de plástico no reutilizables</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_Toc130295290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1" w:history="1">
        <w:r w:rsidRPr="00AF04BC">
          <w:rPr>
            <w:rStyle w:val="Hipervnculo"/>
            <w:rFonts w:ascii="Times New Roman" w:hAnsi="Times New Roman" w:cs="Times New Roman"/>
            <w:noProof/>
            <w:sz w:val="20"/>
            <w:szCs w:val="20"/>
          </w:rPr>
          <w:t xml:space="preserve">Artículo 67. </w:t>
        </w:r>
        <w:r w:rsidRPr="00AF04BC">
          <w:rPr>
            <w:rStyle w:val="Hipervnculo"/>
            <w:rFonts w:ascii="Times New Roman" w:hAnsi="Times New Roman" w:cs="Times New Roman"/>
            <w:i/>
            <w:noProof/>
            <w:sz w:val="20"/>
            <w:szCs w:val="20"/>
          </w:rPr>
          <w:t>Naturaleza y finalidad</w:t>
        </w:r>
        <w:r w:rsidRPr="00AF04BC">
          <w:rPr>
            <w:rStyle w:val="Hipervnculo"/>
            <w:rFonts w:ascii="Times New Roman" w:hAnsi="Times New Roman" w:cs="Times New Roman"/>
            <w:noProof/>
            <w:sz w:val="20"/>
            <w:szCs w:val="20"/>
          </w:rPr>
          <w:t>.</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_Toc130295291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2" w:history="1">
        <w:r w:rsidRPr="00AF04BC">
          <w:rPr>
            <w:rStyle w:val="Hipervnculo"/>
            <w:rFonts w:ascii="Times New Roman" w:hAnsi="Times New Roman" w:cs="Times New Roman"/>
            <w:noProof/>
            <w:sz w:val="20"/>
            <w:szCs w:val="20"/>
            <w:shd w:val="clear" w:color="auto" w:fill="FFFFFF"/>
          </w:rPr>
          <w:t>Artículo 68</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_Toc130295292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3" w:history="1">
        <w:r w:rsidRPr="00AF04BC">
          <w:rPr>
            <w:rStyle w:val="Hipervnculo"/>
            <w:rFonts w:ascii="Times New Roman" w:hAnsi="Times New Roman" w:cs="Times New Roman"/>
            <w:noProof/>
            <w:sz w:val="20"/>
            <w:szCs w:val="20"/>
            <w:shd w:val="clear" w:color="auto" w:fill="FFFFFF"/>
          </w:rPr>
          <w:t>Artículo 69</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_Toc130295293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3</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4" w:history="1">
        <w:r w:rsidRPr="00AF04BC">
          <w:rPr>
            <w:rStyle w:val="Hipervnculo"/>
            <w:rFonts w:ascii="Times New Roman" w:hAnsi="Times New Roman" w:cs="Times New Roman"/>
            <w:noProof/>
            <w:sz w:val="20"/>
            <w:szCs w:val="20"/>
            <w:shd w:val="clear" w:color="auto" w:fill="FFFFFF"/>
          </w:rPr>
          <w:t>Artículo 70.</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_Toc130295294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3</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5" w:history="1">
        <w:r w:rsidRPr="00AF04BC">
          <w:rPr>
            <w:rStyle w:val="Hipervnculo"/>
            <w:rFonts w:ascii="Times New Roman" w:hAnsi="Times New Roman" w:cs="Times New Roman"/>
            <w:noProof/>
            <w:sz w:val="20"/>
            <w:szCs w:val="20"/>
            <w:shd w:val="clear" w:color="auto" w:fill="FFFFFF"/>
          </w:rPr>
          <w:t>Artículo 71</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_Toc130295295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3</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6" w:history="1">
        <w:r w:rsidRPr="00AF04BC">
          <w:rPr>
            <w:rStyle w:val="Hipervnculo"/>
            <w:rFonts w:ascii="Times New Roman" w:hAnsi="Times New Roman" w:cs="Times New Roman"/>
            <w:noProof/>
            <w:sz w:val="20"/>
            <w:szCs w:val="20"/>
            <w:shd w:val="clear" w:color="auto" w:fill="FFFFFF"/>
          </w:rPr>
          <w:t>Artículo 72</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_Toc130295296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4</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7" w:history="1">
        <w:r w:rsidRPr="00AF04BC">
          <w:rPr>
            <w:rStyle w:val="Hipervnculo"/>
            <w:rFonts w:ascii="Times New Roman" w:hAnsi="Times New Roman" w:cs="Times New Roman"/>
            <w:noProof/>
            <w:sz w:val="20"/>
            <w:szCs w:val="20"/>
            <w:shd w:val="clear" w:color="auto" w:fill="FFFFFF"/>
          </w:rPr>
          <w:t>Artículo 73.</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_Toc130295297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4</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8" w:history="1">
        <w:r w:rsidRPr="00AF04BC">
          <w:rPr>
            <w:rStyle w:val="Hipervnculo"/>
            <w:rFonts w:ascii="Times New Roman" w:hAnsi="Times New Roman" w:cs="Times New Roman"/>
            <w:noProof/>
            <w:sz w:val="20"/>
            <w:szCs w:val="20"/>
            <w:shd w:val="clear" w:color="auto" w:fill="FFFFFF"/>
          </w:rPr>
          <w:t>Artículo 74</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_Toc130295298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5</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299" w:history="1">
        <w:r w:rsidRPr="00AF04BC">
          <w:rPr>
            <w:rStyle w:val="Hipervnculo"/>
            <w:rFonts w:ascii="Times New Roman" w:hAnsi="Times New Roman" w:cs="Times New Roman"/>
            <w:noProof/>
            <w:sz w:val="20"/>
            <w:szCs w:val="20"/>
            <w:shd w:val="clear" w:color="auto" w:fill="FFFFFF"/>
          </w:rPr>
          <w:t>Artículo 75</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_Toc130295299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5</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0" w:history="1">
        <w:r w:rsidRPr="00AF04BC">
          <w:rPr>
            <w:rStyle w:val="Hipervnculo"/>
            <w:rFonts w:ascii="Times New Roman" w:hAnsi="Times New Roman" w:cs="Times New Roman"/>
            <w:noProof/>
            <w:sz w:val="20"/>
            <w:szCs w:val="20"/>
            <w:shd w:val="clear" w:color="auto" w:fill="FFFFFF"/>
          </w:rPr>
          <w:t>Artículo 76</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_Toc130295300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6</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1" w:history="1">
        <w:r w:rsidRPr="00AF04BC">
          <w:rPr>
            <w:rStyle w:val="Hipervnculo"/>
            <w:rFonts w:ascii="Times New Roman" w:hAnsi="Times New Roman" w:cs="Times New Roman"/>
            <w:noProof/>
            <w:sz w:val="20"/>
            <w:szCs w:val="20"/>
            <w:shd w:val="clear" w:color="auto" w:fill="FFFFFF"/>
          </w:rPr>
          <w:t>Artículo 77</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_Toc130295301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7</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2" w:history="1">
        <w:r w:rsidRPr="00AF04BC">
          <w:rPr>
            <w:rStyle w:val="Hipervnculo"/>
            <w:rFonts w:ascii="Times New Roman" w:hAnsi="Times New Roman" w:cs="Times New Roman"/>
            <w:noProof/>
            <w:sz w:val="20"/>
            <w:szCs w:val="20"/>
            <w:shd w:val="clear" w:color="auto" w:fill="FFFFFF"/>
          </w:rPr>
          <w:t>Artículo 78</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_Toc130295302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7</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3" w:history="1">
        <w:r w:rsidRPr="00AF04BC">
          <w:rPr>
            <w:rStyle w:val="Hipervnculo"/>
            <w:rFonts w:ascii="Times New Roman" w:hAnsi="Times New Roman" w:cs="Times New Roman"/>
            <w:noProof/>
            <w:sz w:val="20"/>
            <w:szCs w:val="20"/>
            <w:shd w:val="clear" w:color="auto" w:fill="FFFFFF"/>
          </w:rPr>
          <w:t>Artículo 79.</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_Toc130295303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7</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4" w:history="1">
        <w:r w:rsidRPr="00AF04BC">
          <w:rPr>
            <w:rStyle w:val="Hipervnculo"/>
            <w:rFonts w:ascii="Times New Roman" w:hAnsi="Times New Roman" w:cs="Times New Roman"/>
            <w:noProof/>
            <w:sz w:val="20"/>
            <w:szCs w:val="20"/>
            <w:shd w:val="clear" w:color="auto" w:fill="FFFFFF"/>
          </w:rPr>
          <w:t>Artículo 80</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_Toc130295304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7</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5" w:history="1">
        <w:r w:rsidRPr="00AF04BC">
          <w:rPr>
            <w:rStyle w:val="Hipervnculo"/>
            <w:rFonts w:ascii="Times New Roman" w:hAnsi="Times New Roman" w:cs="Times New Roman"/>
            <w:noProof/>
            <w:sz w:val="20"/>
            <w:szCs w:val="20"/>
            <w:shd w:val="clear" w:color="auto" w:fill="FFFFFF"/>
          </w:rPr>
          <w:t>Artículo 81</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_Toc130295305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8</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6" w:history="1">
        <w:r w:rsidRPr="00AF04BC">
          <w:rPr>
            <w:rStyle w:val="Hipervnculo"/>
            <w:rFonts w:ascii="Times New Roman" w:hAnsi="Times New Roman" w:cs="Times New Roman"/>
            <w:noProof/>
            <w:sz w:val="20"/>
            <w:szCs w:val="20"/>
            <w:shd w:val="clear" w:color="auto" w:fill="FFFFFF"/>
          </w:rPr>
          <w:t>Artículo 82.</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_Toc130295306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9</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07" w:history="1">
        <w:r w:rsidRPr="00AF04BC">
          <w:rPr>
            <w:rStyle w:val="Hipervnculo"/>
            <w:rFonts w:ascii="Times New Roman" w:hAnsi="Times New Roman" w:cs="Times New Roman"/>
            <w:noProof/>
            <w:sz w:val="20"/>
            <w:szCs w:val="20"/>
            <w:shd w:val="clear" w:color="auto" w:fill="FFFFFF"/>
          </w:rPr>
          <w:t>Artículo 83</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_Toc130295307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10</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2"/>
        <w:tabs>
          <w:tab w:val="right" w:leader="dot" w:pos="8494"/>
        </w:tabs>
        <w:rPr>
          <w:rFonts w:ascii="Times New Roman" w:eastAsiaTheme="minorEastAsia" w:hAnsi="Times New Roman" w:cs="Times New Roman"/>
          <w:noProof/>
          <w:sz w:val="20"/>
          <w:szCs w:val="20"/>
          <w:lang w:eastAsia="es-ES"/>
        </w:rPr>
      </w:pPr>
      <w:hyperlink w:anchor="_Toc130295308" w:history="1">
        <w:r w:rsidRPr="00AF04BC">
          <w:rPr>
            <w:rStyle w:val="Hipervnculo"/>
            <w:rFonts w:ascii="Times New Roman" w:hAnsi="Times New Roman" w:cs="Times New Roman"/>
            <w:noProof/>
            <w:sz w:val="20"/>
            <w:szCs w:val="20"/>
          </w:rPr>
          <w:t>CAPÍTULO II</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_Toc130295308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11</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2"/>
        <w:tabs>
          <w:tab w:val="right" w:leader="dot" w:pos="8494"/>
        </w:tabs>
        <w:rPr>
          <w:rFonts w:ascii="Times New Roman" w:eastAsiaTheme="minorEastAsia" w:hAnsi="Times New Roman" w:cs="Times New Roman"/>
          <w:noProof/>
          <w:sz w:val="20"/>
          <w:szCs w:val="20"/>
          <w:lang w:eastAsia="es-ES"/>
        </w:rPr>
      </w:pPr>
      <w:hyperlink w:anchor="_Toc130295309" w:history="1">
        <w:r w:rsidRPr="00AF04BC">
          <w:rPr>
            <w:rStyle w:val="Hipervnculo"/>
            <w:rFonts w:ascii="Times New Roman" w:hAnsi="Times New Roman" w:cs="Times New Roman"/>
            <w:noProof/>
            <w:sz w:val="20"/>
            <w:szCs w:val="20"/>
          </w:rPr>
          <w:t>Impuesto sobre el depósito de residuos en vertederos, la incineración y la coincineración de residuos</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_Toc130295309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11</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0" w:history="1">
        <w:r w:rsidRPr="00AF04BC">
          <w:rPr>
            <w:rStyle w:val="Hipervnculo"/>
            <w:rFonts w:ascii="Times New Roman" w:hAnsi="Times New Roman" w:cs="Times New Roman"/>
            <w:noProof/>
            <w:sz w:val="20"/>
            <w:szCs w:val="20"/>
            <w:shd w:val="clear" w:color="auto" w:fill="FFFFFF"/>
          </w:rPr>
          <w:t>Artículo 84</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_Toc130295310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11</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1" w:history="1">
        <w:r w:rsidRPr="00AF04BC">
          <w:rPr>
            <w:rStyle w:val="Hipervnculo"/>
            <w:rFonts w:ascii="Times New Roman" w:hAnsi="Times New Roman" w:cs="Times New Roman"/>
            <w:noProof/>
            <w:sz w:val="20"/>
            <w:szCs w:val="20"/>
            <w:shd w:val="clear" w:color="auto" w:fill="FFFFFF"/>
          </w:rPr>
          <w:t>Artículo 85.</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_Toc130295311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11</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2" w:history="1">
        <w:r w:rsidRPr="00AF04BC">
          <w:rPr>
            <w:rStyle w:val="Hipervnculo"/>
            <w:rFonts w:ascii="Times New Roman" w:hAnsi="Times New Roman" w:cs="Times New Roman"/>
            <w:noProof/>
            <w:sz w:val="20"/>
            <w:szCs w:val="20"/>
            <w:shd w:val="clear" w:color="auto" w:fill="FFFFFF"/>
          </w:rPr>
          <w:t>Artículo 86</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_Toc130295312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3" w:history="1">
        <w:r w:rsidRPr="00AF04BC">
          <w:rPr>
            <w:rStyle w:val="Hipervnculo"/>
            <w:rFonts w:ascii="Times New Roman" w:hAnsi="Times New Roman" w:cs="Times New Roman"/>
            <w:noProof/>
            <w:sz w:val="20"/>
            <w:szCs w:val="20"/>
            <w:shd w:val="clear" w:color="auto" w:fill="FFFFFF"/>
          </w:rPr>
          <w:t>Artículo 87.</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_Toc130295313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4" w:history="1">
        <w:r w:rsidRPr="00AF04BC">
          <w:rPr>
            <w:rStyle w:val="Hipervnculo"/>
            <w:rFonts w:ascii="Times New Roman" w:hAnsi="Times New Roman" w:cs="Times New Roman"/>
            <w:noProof/>
            <w:sz w:val="20"/>
            <w:szCs w:val="20"/>
            <w:shd w:val="clear" w:color="auto" w:fill="FFFFFF"/>
          </w:rPr>
          <w:t>Artículo 88.</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_Toc130295314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12</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5" w:history="1">
        <w:r w:rsidRPr="00AF04BC">
          <w:rPr>
            <w:rStyle w:val="Hipervnculo"/>
            <w:rFonts w:ascii="Times New Roman" w:hAnsi="Times New Roman" w:cs="Times New Roman"/>
            <w:noProof/>
            <w:sz w:val="20"/>
            <w:szCs w:val="20"/>
            <w:shd w:val="clear" w:color="auto" w:fill="FFFFFF"/>
          </w:rPr>
          <w:t>Artículo 89</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_Toc130295315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13</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6" w:history="1">
        <w:r w:rsidRPr="00AF04BC">
          <w:rPr>
            <w:rStyle w:val="Hipervnculo"/>
            <w:rFonts w:ascii="Times New Roman" w:hAnsi="Times New Roman" w:cs="Times New Roman"/>
            <w:noProof/>
            <w:sz w:val="20"/>
            <w:szCs w:val="20"/>
            <w:shd w:val="clear" w:color="auto" w:fill="FFFFFF"/>
          </w:rPr>
          <w:t>Artículo 90</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_Toc130295316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13</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7" w:history="1">
        <w:r w:rsidRPr="00AF04BC">
          <w:rPr>
            <w:rStyle w:val="Hipervnculo"/>
            <w:rFonts w:ascii="Times New Roman" w:hAnsi="Times New Roman" w:cs="Times New Roman"/>
            <w:noProof/>
            <w:sz w:val="20"/>
            <w:szCs w:val="20"/>
            <w:shd w:val="clear" w:color="auto" w:fill="FFFFFF"/>
          </w:rPr>
          <w:t>Artículo 91.</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_Toc130295317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13</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8" w:history="1">
        <w:r w:rsidRPr="00AF04BC">
          <w:rPr>
            <w:rStyle w:val="Hipervnculo"/>
            <w:rFonts w:ascii="Times New Roman" w:hAnsi="Times New Roman" w:cs="Times New Roman"/>
            <w:noProof/>
            <w:sz w:val="20"/>
            <w:szCs w:val="20"/>
            <w:shd w:val="clear" w:color="auto" w:fill="FFFFFF"/>
          </w:rPr>
          <w:t>Artículo 92</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_Toc130295318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13</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19" w:history="1">
        <w:r w:rsidRPr="00AF04BC">
          <w:rPr>
            <w:rStyle w:val="Hipervnculo"/>
            <w:rFonts w:ascii="Times New Roman" w:hAnsi="Times New Roman" w:cs="Times New Roman"/>
            <w:noProof/>
            <w:sz w:val="20"/>
            <w:szCs w:val="20"/>
            <w:shd w:val="clear" w:color="auto" w:fill="FFFFFF"/>
          </w:rPr>
          <w:t>Artículo 93</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_Toc130295319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14</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0" w:history="1">
        <w:r w:rsidRPr="00AF04BC">
          <w:rPr>
            <w:rStyle w:val="Hipervnculo"/>
            <w:rFonts w:ascii="Times New Roman" w:hAnsi="Times New Roman" w:cs="Times New Roman"/>
            <w:noProof/>
            <w:sz w:val="20"/>
            <w:szCs w:val="20"/>
            <w:shd w:val="clear" w:color="auto" w:fill="FFFFFF"/>
          </w:rPr>
          <w:t>Artículo 94.</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_Toc130295320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15</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1" w:history="1">
        <w:r w:rsidRPr="00AF04BC">
          <w:rPr>
            <w:rStyle w:val="Hipervnculo"/>
            <w:rFonts w:ascii="Times New Roman" w:hAnsi="Times New Roman" w:cs="Times New Roman"/>
            <w:noProof/>
            <w:sz w:val="20"/>
            <w:szCs w:val="20"/>
            <w:shd w:val="clear" w:color="auto" w:fill="FFFFFF"/>
          </w:rPr>
          <w:t>Artículo 95</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_Toc130295321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15</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2" w:history="1">
        <w:r w:rsidRPr="00AF04BC">
          <w:rPr>
            <w:rStyle w:val="Hipervnculo"/>
            <w:rFonts w:ascii="Times New Roman" w:hAnsi="Times New Roman" w:cs="Times New Roman"/>
            <w:noProof/>
            <w:sz w:val="20"/>
            <w:szCs w:val="20"/>
            <w:shd w:val="clear" w:color="auto" w:fill="FFFFFF"/>
          </w:rPr>
          <w:t>Artículo 96.</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_Toc130295322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16</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3" w:history="1">
        <w:r w:rsidRPr="00AF04BC">
          <w:rPr>
            <w:rStyle w:val="Hipervnculo"/>
            <w:rFonts w:ascii="Times New Roman" w:hAnsi="Times New Roman" w:cs="Times New Roman"/>
            <w:noProof/>
            <w:sz w:val="20"/>
            <w:szCs w:val="20"/>
            <w:shd w:val="clear" w:color="auto" w:fill="FFFFFF"/>
          </w:rPr>
          <w:t>Artículo 97.</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_Toc130295323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16</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4" w:history="1">
        <w:r w:rsidRPr="00AF04BC">
          <w:rPr>
            <w:rStyle w:val="Hipervnculo"/>
            <w:rFonts w:ascii="Times New Roman" w:hAnsi="Times New Roman" w:cs="Times New Roman"/>
            <w:noProof/>
            <w:sz w:val="20"/>
            <w:szCs w:val="20"/>
            <w:shd w:val="clear" w:color="auto" w:fill="FFFFFF"/>
          </w:rPr>
          <w:t>Disposición final quinta.</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_Toc130295324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16</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5" w:history="1">
        <w:r w:rsidRPr="00AF04BC">
          <w:rPr>
            <w:rStyle w:val="Hipervnculo"/>
            <w:rFonts w:ascii="Times New Roman" w:hAnsi="Times New Roman" w:cs="Times New Roman"/>
            <w:noProof/>
            <w:sz w:val="20"/>
            <w:szCs w:val="20"/>
            <w:shd w:val="clear" w:color="auto" w:fill="FFFFFF"/>
          </w:rPr>
          <w:t>Disposición final décima.</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_Toc130295325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17</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6" w:history="1">
        <w:r w:rsidRPr="00AF04BC">
          <w:rPr>
            <w:rStyle w:val="Hipervnculo"/>
            <w:rFonts w:ascii="Times New Roman" w:hAnsi="Times New Roman" w:cs="Times New Roman"/>
            <w:noProof/>
            <w:sz w:val="20"/>
            <w:szCs w:val="20"/>
            <w:shd w:val="clear" w:color="auto" w:fill="FFFFFF"/>
          </w:rPr>
          <w:t>Disposición final duodécima</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_Toc130295326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17</w:t>
        </w:r>
        <w:r w:rsidRPr="00AF04BC">
          <w:rPr>
            <w:rFonts w:ascii="Times New Roman" w:hAnsi="Times New Roman" w:cs="Times New Roman"/>
            <w:noProof/>
            <w:webHidden/>
            <w:sz w:val="20"/>
            <w:szCs w:val="20"/>
          </w:rPr>
          <w:fldChar w:fldCharType="end"/>
        </w:r>
      </w:hyperlink>
    </w:p>
    <w:p w:rsidR="0050515C" w:rsidRPr="00AF04BC" w:rsidRDefault="0050515C" w:rsidP="009F03C2">
      <w:pPr>
        <w:pStyle w:val="TDC3"/>
        <w:tabs>
          <w:tab w:val="right" w:leader="dot" w:pos="8494"/>
        </w:tabs>
        <w:rPr>
          <w:rFonts w:ascii="Times New Roman" w:eastAsiaTheme="minorEastAsia" w:hAnsi="Times New Roman" w:cs="Times New Roman"/>
          <w:noProof/>
          <w:sz w:val="20"/>
          <w:szCs w:val="20"/>
          <w:lang w:eastAsia="es-ES"/>
        </w:rPr>
      </w:pPr>
      <w:hyperlink w:anchor="_Toc130295327" w:history="1">
        <w:r w:rsidRPr="00AF04BC">
          <w:rPr>
            <w:rStyle w:val="Hipervnculo"/>
            <w:rFonts w:ascii="Times New Roman" w:hAnsi="Times New Roman" w:cs="Times New Roman"/>
            <w:noProof/>
            <w:sz w:val="20"/>
            <w:szCs w:val="20"/>
            <w:shd w:val="clear" w:color="auto" w:fill="FFFFFF"/>
          </w:rPr>
          <w:t>Disposición final decimotercera.</w:t>
        </w:r>
        <w:r w:rsidRPr="00AF04BC">
          <w:rPr>
            <w:rFonts w:ascii="Times New Roman" w:hAnsi="Times New Roman" w:cs="Times New Roman"/>
            <w:noProof/>
            <w:webHidden/>
            <w:sz w:val="20"/>
            <w:szCs w:val="20"/>
          </w:rPr>
          <w:tab/>
        </w:r>
        <w:r w:rsidRPr="00AF04BC">
          <w:rPr>
            <w:rFonts w:ascii="Times New Roman" w:hAnsi="Times New Roman" w:cs="Times New Roman"/>
            <w:noProof/>
            <w:webHidden/>
            <w:sz w:val="20"/>
            <w:szCs w:val="20"/>
          </w:rPr>
          <w:fldChar w:fldCharType="begin"/>
        </w:r>
        <w:r w:rsidRPr="00AF04BC">
          <w:rPr>
            <w:rFonts w:ascii="Times New Roman" w:hAnsi="Times New Roman" w:cs="Times New Roman"/>
            <w:noProof/>
            <w:webHidden/>
            <w:sz w:val="20"/>
            <w:szCs w:val="20"/>
          </w:rPr>
          <w:instrText xml:space="preserve"> PAGEREF _Toc130295327 \h </w:instrText>
        </w:r>
        <w:r w:rsidRPr="00AF04BC">
          <w:rPr>
            <w:rFonts w:ascii="Times New Roman" w:hAnsi="Times New Roman" w:cs="Times New Roman"/>
            <w:noProof/>
            <w:webHidden/>
            <w:sz w:val="20"/>
            <w:szCs w:val="20"/>
          </w:rPr>
        </w:r>
        <w:r w:rsidRPr="00AF04BC">
          <w:rPr>
            <w:rFonts w:ascii="Times New Roman" w:hAnsi="Times New Roman" w:cs="Times New Roman"/>
            <w:noProof/>
            <w:webHidden/>
            <w:sz w:val="20"/>
            <w:szCs w:val="20"/>
          </w:rPr>
          <w:fldChar w:fldCharType="separate"/>
        </w:r>
        <w:r w:rsidRPr="00AF04BC">
          <w:rPr>
            <w:rFonts w:ascii="Times New Roman" w:hAnsi="Times New Roman" w:cs="Times New Roman"/>
            <w:noProof/>
            <w:webHidden/>
            <w:sz w:val="20"/>
            <w:szCs w:val="20"/>
          </w:rPr>
          <w:t>17</w:t>
        </w:r>
        <w:r w:rsidRPr="00AF04BC">
          <w:rPr>
            <w:rFonts w:ascii="Times New Roman" w:hAnsi="Times New Roman" w:cs="Times New Roman"/>
            <w:noProof/>
            <w:webHidden/>
            <w:sz w:val="20"/>
            <w:szCs w:val="20"/>
          </w:rPr>
          <w:fldChar w:fldCharType="end"/>
        </w:r>
      </w:hyperlink>
    </w:p>
    <w:p w:rsidR="0050515C" w:rsidRPr="0034155C" w:rsidRDefault="0050515C" w:rsidP="009F03C2">
      <w:pPr>
        <w:pStyle w:val="TEXTOBSICO"/>
        <w:spacing w:before="0"/>
        <w:jc w:val="center"/>
        <w:rPr>
          <w:i/>
        </w:rPr>
      </w:pPr>
      <w:r w:rsidRPr="00AF04BC">
        <w:rPr>
          <w:i/>
        </w:rPr>
        <w:fldChar w:fldCharType="end"/>
      </w:r>
    </w:p>
    <w:p w:rsidR="00CB3BCB" w:rsidRDefault="00CB3BCB" w:rsidP="009F03C2">
      <w:pPr>
        <w:pStyle w:val="TEXTOBSICO"/>
        <w:spacing w:before="0"/>
        <w:ind w:left="284"/>
      </w:pPr>
      <w:r>
        <w:t>(…)</w:t>
      </w:r>
    </w:p>
    <w:p w:rsidR="0050515C" w:rsidRDefault="0050515C" w:rsidP="009F03C2">
      <w:pPr>
        <w:pStyle w:val="TEXTOBSICO"/>
        <w:spacing w:before="0"/>
        <w:ind w:left="284"/>
      </w:pPr>
    </w:p>
    <w:p w:rsidR="0050515C" w:rsidRDefault="0050515C" w:rsidP="009F03C2">
      <w:pPr>
        <w:pStyle w:val="TEXTOBSICO"/>
        <w:spacing w:before="0" w:line="276" w:lineRule="auto"/>
        <w:jc w:val="center"/>
        <w:rPr>
          <w:b/>
        </w:rPr>
      </w:pPr>
      <w:r w:rsidRPr="004E379F">
        <w:rPr>
          <w:b/>
        </w:rPr>
        <w:t>§</w:t>
      </w:r>
      <w:r>
        <w:rPr>
          <w:b/>
        </w:rPr>
        <w:t>X</w:t>
      </w:r>
      <w:r w:rsidRPr="004E379F">
        <w:rPr>
          <w:b/>
        </w:rPr>
        <w:t>I.</w:t>
      </w:r>
      <w:r>
        <w:rPr>
          <w:b/>
        </w:rPr>
        <w:t xml:space="preserve">4 </w:t>
      </w:r>
      <w:r w:rsidRPr="00CB3BCB">
        <w:rPr>
          <w:b/>
        </w:rPr>
        <w:t>LEY 7/2022, DE 8 DE ABRIL, DE RESIDUOS Y SUELOS CONTAMINADOS PARA UNA ECONOMÍA CIRCULAR</w:t>
      </w:r>
    </w:p>
    <w:p w:rsidR="0050515C" w:rsidRDefault="0050515C" w:rsidP="009F03C2">
      <w:pPr>
        <w:pStyle w:val="TEXTOBSICO"/>
        <w:spacing w:before="0" w:line="276" w:lineRule="auto"/>
        <w:ind w:left="284"/>
      </w:pPr>
    </w:p>
    <w:p w:rsidR="0050515C" w:rsidRDefault="00CB3BCB" w:rsidP="009F03C2">
      <w:pPr>
        <w:pStyle w:val="TTULO"/>
        <w:spacing w:before="0" w:after="240" w:line="276" w:lineRule="auto"/>
      </w:pPr>
      <w:bookmarkStart w:id="0" w:name="_Toc130295287"/>
      <w:r w:rsidRPr="00CB3BCB">
        <w:t>TÍTULO VII</w:t>
      </w:r>
      <w:bookmarkEnd w:id="0"/>
    </w:p>
    <w:p w:rsidR="00CB3BCB" w:rsidRPr="00CB3BCB" w:rsidRDefault="00CB3BCB" w:rsidP="009F03C2">
      <w:pPr>
        <w:pStyle w:val="TTULO"/>
        <w:spacing w:before="0" w:after="240" w:line="276" w:lineRule="auto"/>
      </w:pPr>
      <w:bookmarkStart w:id="1" w:name="_Toc130295288"/>
      <w:r w:rsidRPr="00CB3BCB">
        <w:t>Medidas fiscales para incentivar la economía circular</w:t>
      </w:r>
      <w:bookmarkEnd w:id="1"/>
    </w:p>
    <w:p w:rsidR="00CB3BCB" w:rsidRPr="0050515C" w:rsidRDefault="00CB3BCB" w:rsidP="009F03C2">
      <w:pPr>
        <w:pStyle w:val="CAPTULO"/>
        <w:spacing w:before="0" w:after="240" w:line="276" w:lineRule="auto"/>
      </w:pPr>
      <w:bookmarkStart w:id="2" w:name="_Toc130295289"/>
      <w:r w:rsidRPr="0050515C">
        <w:t>CAPÍTULO I</w:t>
      </w:r>
      <w:bookmarkEnd w:id="2"/>
    </w:p>
    <w:p w:rsidR="00CB3BCB" w:rsidRPr="0050515C" w:rsidRDefault="00CB3BCB" w:rsidP="009F03C2">
      <w:pPr>
        <w:pStyle w:val="CAPTULO"/>
        <w:spacing w:before="0" w:line="276" w:lineRule="auto"/>
      </w:pPr>
      <w:bookmarkStart w:id="3" w:name="_Toc130295290"/>
      <w:r w:rsidRPr="0050515C">
        <w:t>Impuesto especial sobre los envases de plástico no reutilizables</w:t>
      </w:r>
      <w:bookmarkEnd w:id="3"/>
    </w:p>
    <w:p w:rsidR="00CB3BCB" w:rsidRPr="00CB3BCB" w:rsidRDefault="00CB3BCB" w:rsidP="009F03C2">
      <w:pPr>
        <w:pStyle w:val="ARTICUL"/>
        <w:spacing w:before="0" w:line="276" w:lineRule="auto"/>
      </w:pPr>
      <w:bookmarkStart w:id="4" w:name="_Toc130295291"/>
      <w:r w:rsidRPr="00CB3BCB">
        <w:t xml:space="preserve">Artículo 67. </w:t>
      </w:r>
      <w:r w:rsidRPr="00CB3BCB">
        <w:rPr>
          <w:b w:val="0"/>
          <w:i/>
        </w:rPr>
        <w:t>Naturaleza y finalidad</w:t>
      </w:r>
      <w:r w:rsidRPr="00CB3BCB">
        <w:t>.</w:t>
      </w:r>
      <w:bookmarkEnd w:id="4"/>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El impuesto especial sobre los envases de plástico no reutilizables es un tributo de naturaleza indirecta que recae sobre la utilización, en el territorio de aplicación del impuesto, de envases no reutilizables que contengan plástico, tanto si se presentan vacíos, como si se presentan conteniendo, protegiendo, manipulando, distribuyendo y presentando mercancías.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La finalidad del impuesto es el fomento de la prevención de la generación de residuos de envases de plástico no reutilizables, así como el fomento del reciclado de los residuos plásticos, contribuyendo a la circularidad de este material.</w:t>
      </w:r>
    </w:p>
    <w:p w:rsidR="00CB3BCB" w:rsidRPr="0050515C" w:rsidRDefault="00CB3BCB" w:rsidP="009F03C2">
      <w:pPr>
        <w:pStyle w:val="Ttulo5"/>
        <w:shd w:val="clear" w:color="auto" w:fill="FFFFFF"/>
        <w:spacing w:before="0" w:after="180" w:line="276" w:lineRule="auto"/>
        <w:rPr>
          <w:rFonts w:ascii="Times New Roman" w:hAnsi="Times New Roman" w:cs="Times New Roman"/>
          <w:b/>
          <w:color w:val="000000"/>
          <w:sz w:val="20"/>
          <w:szCs w:val="20"/>
          <w:shd w:val="clear" w:color="auto" w:fill="FFFFFF"/>
        </w:rPr>
      </w:pPr>
      <w:bookmarkStart w:id="5" w:name="_Toc130295292"/>
      <w:r w:rsidRPr="0050515C">
        <w:rPr>
          <w:rStyle w:val="ARTICULCar"/>
        </w:rPr>
        <w:t>Artículo 68</w:t>
      </w:r>
      <w:bookmarkEnd w:id="5"/>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Ámbito objetivo.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Se incluyen en el ámbito objetivo de este impuesto:</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Los envases no reutilizables que contengan plástico.</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estos efectos tienen la consideración de envases todos los artículos diseñados para contener, proteger, manipular, distribuir y presentar mercancías, incluyéndose dentro de estos tanto los definidos en el artículo 2.m) de esta ley, como cualesquiera otros que, no encontrando encaje en dicha definición, estén destinados a cumplir las mismas funciones y que puedan ser objeto de utilización en los mismos términos, salvo que dichos artículos formen parte integrante de un producto y sean necesarios para contener, sustentar o preservar dicho producto durante toda su vida útil y todos sus elementos estén destinados a ser usados, consumidos o eliminados conjuntamente.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Se considera que los envases son no reutilizables cuando no han sido concebidos, diseñados y comercializados para realizar múltiples circuitos o rotaciones a lo largo de su ciclo de vida, o para ser rellenados o reutilizados con el mismo fin para el que fueron diseñados.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Los productos plásticos semielaborados destinados a la obtención de los envases a los que hace referencia la letra a), tales como las preformas o las láminas de termoplástico.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Los productos que contengan plástico destinados a permitir el cierre, la comercialización o la presentación de envases no reutilizables.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A los efectos del apartado anterior, tiene la consideración de plástico el material definido en el artículo 2.u) de esta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lastRenderedPageBreak/>
        <w:t>3. Aquellos productos a los que se hace referencia en el apartado 1 de este artículo que, estando compuestos de más de un material, contengan plástico, se gravarán por la cantidad de plástico que contengan.</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6" w:name="_Toc130295293"/>
      <w:r w:rsidRPr="0050515C">
        <w:rPr>
          <w:rStyle w:val="ARTICULCar"/>
        </w:rPr>
        <w:t>Artículo 69</w:t>
      </w:r>
      <w:bookmarkEnd w:id="6"/>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Ámbito de aplicación.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El impuesto se aplicará en todo el territorio español.</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Lo dispuesto en el apartado anterior se entenderá sin perjuicio de los regímenes tributarios forales de concierto y convenio económico en vigor, respectivamente, en los Territorios Históricos del País Vasco y en la Comunidad Foral de Navarra.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7" w:name="_Toc130295294"/>
      <w:r w:rsidRPr="0050515C">
        <w:rPr>
          <w:rStyle w:val="ARTICULCar"/>
        </w:rPr>
        <w:t>Artículo 70.</w:t>
      </w:r>
      <w:bookmarkEnd w:id="7"/>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Tratados y Convenios.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Lo establecido en este capítulo I se entenderá sin perjuicio de lo dispuesto en los tratados y convenios internacionales que hayan pasado a formar parte del ordenamiento interno, de conformidad con el artículo 96 de la Constitución Española.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8" w:name="_Toc130295295"/>
      <w:r w:rsidRPr="0050515C">
        <w:rPr>
          <w:rStyle w:val="ARTICULCar"/>
        </w:rPr>
        <w:t>Artículo 71</w:t>
      </w:r>
      <w:bookmarkEnd w:id="8"/>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Definiciones.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A efectos de este impuesto se entenderá por:</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«Adquisición intracomunitaria»: La obtención del poder de disposición sobre los productos objeto del impuesto expedidos o transportados al territorio de aplicación del impuesto, excepto Canarias, Ceuta y Melilla, con destino al adquirente, desde otro Estado miembro de la Unión Europea, por el transmitente, el propio adquirente o un tercero en nombre y por cuenta de cualquiera de los anteriores.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Se considerarán, asimismo, operaciones asimiladas a las adquisiciones intracomunitarias la recepción de envases objeto del impuesto por su propietario en el territorio de aplicación del impuesto, excepto Canarias, Ceuta y Melilla, cuyo envío haya realizado él mismo desde otro Estado miembro.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«Fabricación»: La elaboración de productos objeto de este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No obstante, no tendrá la consideración de fabricación la elaboración de envases a partir, exclusivamente, de los productos sujetos al impuesto comprendidos en el artículo 68.1.b) y c) de esta ley o, además de los anteriores, de otros productos que no contengan plástico.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Asimismo, tendrá la consideración de fabricación la incorporación a los envases de otros elementos de plástico que, no constituyendo por sí mismos, de manera individualizada, parte del ámbito objetivo del impuesto, tras su incorporación a los envases pasen a formar parte de los mismos.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«Importación»: tendrán esta consideración las siguientes operaciones: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La entrada en el territorio de aplicación del impuesto distinto de Ceuta y Melilla de los productos objeto del mismo procedentes de territorios no comprendidos en el territorio aduanero de la Unión, cuando dé lugar al despacho a libre práctica de los mismos de conformidad con el artículo 201 del Reglamento (UE) n.º 952/2013 del Parlamento Europeo y del Consejo, de 9 de octubre de 2013, por el que se establece el código aduanero de la Unión.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La entrada en Canarias de los productos objeto del impuesto procedentes de territorios comprendidos en el territorio aduanero de la Unión que no formen parte del territorio de aplicación del impuesto, cuando dicha entrada hubiese dado lugar a un despacho a libre práctica si los productos objeto del impuesto procedieran de territorios no comprendidos en el territorio aduanero de la Unión.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3.º La entrada en Ceuta y Melilla de los productos objeto del impuesto procedentes de territorios que no formen parte del territorio de aplicación del impuesto, cuando dicha entrada hubiese dado lugar a un despacho a libre práctica si en dichas ciudades resultara de aplicación el Reglamento (UE) n.º 952/2013, de 9 de octubre de 2013.</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lastRenderedPageBreak/>
        <w:t>d) «Oficina gestora»: el órgano que, de acuerdo con las normas de estructura orgánica de la Agencia Estatal de Administración Tributaria, sea competente en materia de gestión del Impuesto sobre los envases de plástico no reutilizables.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 «Productos semielaborados»: aquellos productos intermedios obtenidos a partir de materias primas que han sido sometidas a una o varias operaciones de transformación y que requieren de una o varias fases de transformación posteriores para poder ser destinados a su función como envase.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f) «Residuos peligrosos de origen sanitario»: Aquellos residuos que requieren su depósito en contenedores sanitarios cuya gestión está sujeta a requisitos y normativas específicas para prevenir la propagación de enfermedades y garantizar la protección de la salud y seguridad de la ciudadanía.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Respecto a los conceptos y términos con sustantividad propia que aparecen en este capítulo, salvo los definidos en este artículo, se estará a lo dispuesto en la normativa de la Unión Europea y de carácter estatal relativa a los productos incluidos en el ámbito objetivo del impuesto.</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9" w:name="_Toc130295296"/>
      <w:r w:rsidRPr="0050515C">
        <w:rPr>
          <w:rStyle w:val="ARTICULCar"/>
        </w:rPr>
        <w:t>Artículo 72</w:t>
      </w:r>
      <w:bookmarkEnd w:id="9"/>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Hecho imponible.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Están sujetas al impuesto la fabricación, la importación o la adquisición intracomunitaria de los productos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También está sujeta al impuesto la introducción irregular en el territorio de aplicación del impuesto de los productos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Se entenderá que se ha producido una introducción irregular de dichos productos en el territorio de aplicación del impuesto en el supuesto de que quien los posea, comercialice, transporte o utilice, no acredite haber realizado su fabricación, importación o adquisición intracomunitaria, o cuando no justifique que los productos han sido objeto de adquisición en el territorio español.</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0" w:name="_Toc130295297"/>
      <w:r w:rsidRPr="0050515C">
        <w:rPr>
          <w:rStyle w:val="ARTICULCar"/>
        </w:rPr>
        <w:t>Artículo 73.</w:t>
      </w:r>
      <w:bookmarkEnd w:id="10"/>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Supuestos de no sujeción.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No estarán sujetas al impuesto:</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La fabricación de los productos que forman parte del ámbito objetivo del impuesto cuando, con anterioridad al devengo del impuesto, hayan dejado de ser adecuados para su utilización o hayan sido destruidos, siempre que la existencia de dichos hechos haya sido probada ante la Agencia Estatal de Administración Tributaria, por cualquiera de los medios de prueba admisibles en derecho.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La fabricación de aquellos productos que, formando parte del ámbito objetivo del impuesto, se destinen a ser enviados directamente por el fabricante, o por un tercero en su nombre o por su cuenta, a un territorio distinto al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efectividad de este supuesto de no sujeción quedará condicionada a que se acredite la realidad de la salida efectiva de los mismos del territorio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La fabricación, importación o adquisición intracomunitaria de las pinturas, las tintas, las lacas y los adhesivos, concebidos para ser incorporados a los productos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La fabricación, importación o adquisición intracomunitaria de productos a los que hace referencia el artículo 68.1.a) que, pudiendo desempeñar las funciones de contención, protección y manipulación de mercancías, no están diseñados para ser entregados conjuntamente con dichas mercancías.</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1" w:name="_Toc130295298"/>
      <w:r w:rsidRPr="0050515C">
        <w:rPr>
          <w:rStyle w:val="ARTICULCar"/>
        </w:rPr>
        <w:t>Artículo 74</w:t>
      </w:r>
      <w:bookmarkEnd w:id="11"/>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Devengo.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1. En los supuestos de fabricación, el devengo del impuesto se producirá en el momento en que se realice la primera entrega o puesta a disposición a favor del adquirente, en el territorio de aplicación del impuesto, de los productos que forman parte del ámbito objetivo del impuesto por el fabricante. Se </w:t>
      </w:r>
      <w:r w:rsidRPr="00CB3BCB">
        <w:rPr>
          <w:color w:val="000000"/>
          <w:sz w:val="20"/>
          <w:szCs w:val="20"/>
        </w:rPr>
        <w:lastRenderedPageBreak/>
        <w:t>presumirá, salvo prueba en contrario, que la diferencia en menos de existencias de productos fabricados se debe a que los mismos han sido objeto de entrega o puesta a disposición por parte del fabricante.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No </w:t>
      </w:r>
      <w:proofErr w:type="gramStart"/>
      <w:r w:rsidRPr="00CB3BCB">
        <w:rPr>
          <w:color w:val="000000"/>
          <w:sz w:val="20"/>
          <w:szCs w:val="20"/>
        </w:rPr>
        <w:t>obstante</w:t>
      </w:r>
      <w:proofErr w:type="gramEnd"/>
      <w:r w:rsidRPr="00CB3BCB">
        <w:rPr>
          <w:color w:val="000000"/>
          <w:sz w:val="20"/>
          <w:szCs w:val="20"/>
        </w:rPr>
        <w:t xml:space="preserve"> lo dispuesto en el párrafo anterior, si se realizan pagos anticipados anteriores a la realización del hecho imponible, el impuesto se devengará en el momento del cobro total o parcial del precio por los importes efectivamente percibidos.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En los supuestos de importación, el devengo del impuesto se producirá en el momento en que hubiera tenido lugar el devengo de los derechos de importación, de acuerdo con la legislación aduanera, independientemente de que dichas importaciones estén o no sujetas a los mencionados derechos de importación.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 En los supuestos de adquisiciones intracomunitarias, el devengo del impuesto se producirá el día 15 del mes siguiente a aquel en el que se inicie la expedición o el transporte de los productos que forman parte del ámbito objetivo del impuesto con destino al adquirente, salvo que con anterioridad a dicha fecha se expida la factura por dichas operaciones, en cuyo caso el devengo del impuesto tendrá lugar en la fecha de expedición de la misma.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4. En los supuestos a los que se refiere el artículo 72.2, el devengo del impuesto se producirá en el momento de la introducción irregular en el territorio de aplicación del impuesto de los productos que forman parte del ámbito objetivo del impuesto y, de no conocerse dicho momento, se considerará que la introducción irregular se ha realizado en el periodo de liquidación más antiguo de entre los no prescritos, excepto que el contribuyente pruebe que corresponde a otro.</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2" w:name="_Toc130295299"/>
      <w:r w:rsidRPr="0050515C">
        <w:rPr>
          <w:rStyle w:val="ARTICULCar"/>
        </w:rPr>
        <w:t>Artículo 75</w:t>
      </w:r>
      <w:bookmarkEnd w:id="12"/>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Exenciones.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Estarán exentas, en las condiciones que, en su caso, reglamentariamente se establezcan:</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La fabricación, importación o adquisición intracomunitaria de:</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Los envases a los que se refiere el artículo 68.1.a) que se destinen a prestar la función de contención, protección, manipulación, distribución y presentación de medicamentos, productos sanitarios, alimentos para usos médicos especiales, preparados para lactantes de uso hospitalario o residuos peligrosos de origen sanitario.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Los productos plásticos semielaborados, a los que se hace referencia en el artículo 68.1.b), que se destinen a obtener envases para medicamentos, productos sanitarios, alimentos para usos médicos especiales, preparados para lactantes de uso hospitalario o residuos peligrosos de origen sanitario.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3.º Los productos que contengan plástico destinados a permitir el cierre, la comercialización o la presentación de envases no reutilizables, cuando estos se utilicen para contener, proteger, manipular, distribuir y presentar medicamentos, productos sanitarios, alimentos para usos médicos especiales, preparados para lactantes de uso hospitalario o residuos peligrosos de origen sanitario.</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efectividad de esta exención quedará condicionada a que se acredite el destino efectivo de los productos recogidos en los apartados anteriores a los usos que en ellos se recogen. En concreto, los contribuyentes que realicen la primera entrega o puesta a disposición de los productos a favor de aquellos adquirentes que los destinen a tales usos, deberán recabar de estos una declaración previa en la que manifiesten el destino de los productos que da derecho a gozar de la exención del impuesto. Dicha declaración se deberá conservar durante los plazos de prescripción relativos al impuesto a que se refiere el artículo 66 de la Ley 58/2003, de 17 de diciembre, General Tributaria.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La importación o adquisición intracomunitaria de envases a los que se refiere el artículo 68.1.a) que se introduzcan en el territorio de aplicación del impuesto prestando la función de contención, protección, manipulación, distribución y presentación de medicamentos, productos sanitarios, alimentos para usos médicos especiales, preparados para lactantes de uso hospitalario o residuos peligrosos de origen sanitario.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lastRenderedPageBreak/>
        <w:t>c) La fabricación, importación o adquisición intracomunitaria de rollos de plástico empleados en las pacas o balas para ensilado de forrajes o cereales de uso agrícola o ganadero.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La adquisición intracomunitaria de los productos que forman parte del ámbito objetivo del impuesto y que, con anterioridad a la finalización del plazo de presentación de la autoliquidación del impuesto correspondiente a dicho hecho imponible, se destinen a ser enviados directamente por el adquirente intracomunitario, o por un tercero en su nombre o por su cuenta, a un territorio distinto al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efectividad de esta exención quedará condicionada a que se acredite la realidad de la salida efectiva de los productos del territorio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 La adquisición intracomunitaria de los productos que forman parte del ámbito objetivo del impuesto y que, con anterioridad a la finalización del plazo de presentación de la autoliquidación del impuesto correspondiente a dicho hecho imponible, hayan dejado de ser adecuados para su utilización o hayan sido destruidos, siempre que la existencia de dichos hechos haya sido probada ante la Agencia Estatal de Administración Tributaria, por cualquiera de los medios de prueba admisibles en derecho.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f) La importación o adquisición intracomunitaria de los envases a los que se refiere el artículo 68.1.a), tanto si se introducen vacíos, como si se introducen prestando la función de contención, protección, manipulación, distribución y presentación de otros bienes o productos, siempre que el peso total del plástico no reciclado contenido en dichos envases objeto de la importación o adquisición intracomunitaria no exceda de 5 kilogramos en un mes.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g) La fabricación, importación o adquisición intracomunitaria de:</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Los productos plásticos semielaborados, a los que hace referencia el artículo 68.1.b), cuando no se vayan a destinar a obtener los envases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Los productos que contengan plástico destinados a permitir el cierre, la comercialización o la presentación de envases no reutilizables cuando no se vayan a utilizar en dichos usos.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efectividad de esta exención quedará condicionada a que se acredite el destino efectivo dado a dichos productos. En concreto, los contribuyentes que realicen la primera entrega o puesta a disposición de los mismos a favor de los adquirentes, deberán recabar de estos una declaración previa en la que manifiesten el destino de dichos productos. Dicha declaración se deberá conservar durante los plazos de prescripción relativos al impuesto a que se refiere el artículo 66 de la Ley 58/2003, de 17 de diciembre, General Tributaria.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3" w:name="_Toc130295300"/>
      <w:r w:rsidRPr="0050515C">
        <w:rPr>
          <w:rStyle w:val="ARTICULCar"/>
        </w:rPr>
        <w:t>Artículo 76</w:t>
      </w:r>
      <w:bookmarkEnd w:id="13"/>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Contribuyentes.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En los supuestos comprendidos en el artículo 72.1, son contribuyentes del impuesto las personas físicas o jurídicas y entidades a las que se refiere el apartado 4 del artículo 35 de la Ley 58/2003, de 17 de diciembre, General Tributaria, que realicen la fabricación, importación o adquisición intracomunitaria de los productos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En los casos de introducción irregular en el territorio de aplicación del impuesto de los productos que forman parte del ámbito objetivo del impuesto, a que hace referencia el artículo 72.2, será contribuyente quien posea, comercialice, transporte o utilice dichos productos.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En los supuestos de irregularidades en relación con la justificación del uso o destino dado a los productos objeto del impuesto que se han beneficiado de una exención en razón de su destino, estarán obligados al pago del impuesto y de las sanciones que pudieran imponerse los contribuyentes, en tanto no justifiquen la recepción de los productos por el adquirente facultado para recibirlos mediante la aportación de la declaración previa a la que se refiere el artículo anterior; a partir de tal recepción, la obligación recaerá sobre los adquirentes.</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4" w:name="_Toc130295301"/>
      <w:r w:rsidRPr="0050515C">
        <w:rPr>
          <w:rStyle w:val="ARTICULCar"/>
        </w:rPr>
        <w:lastRenderedPageBreak/>
        <w:t>Artículo 77</w:t>
      </w:r>
      <w:bookmarkEnd w:id="14"/>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Base imponible.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La base imponible estará constituida por la cantidad de plástico no reciclado, expresada en kilogramos, contenida en los productos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En el supuesto de que a los productos que forman parte del ámbito objetivo del impuesto, por los que previamente se hubiera devengado el impuesto, se incorporen otros elementos de plástico, de forma tal que tras su incorporación formen parte del producto al que van incorporados, la base imponible estará constituida exclusivamente por la cantidad de plástico no reciclado, expresada en kilogramos, incorporada a dichos productos.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2. Tendrá la consideración de plástico reciclado el material definido en el artículo </w:t>
      </w:r>
      <w:proofErr w:type="gramStart"/>
      <w:r w:rsidRPr="00CB3BCB">
        <w:rPr>
          <w:color w:val="000000"/>
          <w:sz w:val="20"/>
          <w:szCs w:val="20"/>
        </w:rPr>
        <w:t>2.u</w:t>
      </w:r>
      <w:proofErr w:type="gramEnd"/>
      <w:r w:rsidRPr="00CB3BCB">
        <w:rPr>
          <w:color w:val="000000"/>
          <w:sz w:val="20"/>
          <w:szCs w:val="20"/>
        </w:rPr>
        <w:t>) de esta ley obtenido a partir de operaciones de valorización a las que hace referencia el artículo 2.bc) de esta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 A efectos de este artículo, la cantidad de plástico reciclado contenida en los productos que forman parte del ámbito objetivo del impuesto deberá ser certificada mediante una entidad acreditada para emitir certificación al amparo de la norma UNE-EN 15343:2008 «Plásticos. Plásticos reciclados. Trazabilidad y evaluación de conformidad del reciclado de plásticos y contenido en reciclado» o las normas que las sustituyan. En el supuesto de plástico reciclado químicamente, dicha cantidad se acreditará mediante el certificado emitido por la correspondiente entidad acreditada o habilitada a tales efectos.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Las entidades certificadoras deberán estar acreditadas por la Entidad Nacional de Acreditación (ENAC) o por el organismo nacional de acreditación de cualquier otro Estado miembro de la Unión Europea, designado de acuerdo con lo establecido en el Reglamento (CE) n.º 765/2008 del Parlamento Europeo y del Consejo, de 9 de julio de 2008, por el que se establecen los requisitos de acreditación y vigilancia del mercado relativos a la comercialización de los productos y por el que se deroga el Reglamento (CEE) n.º 339/93, o en el caso de productos fabricados fuera de la Unión Europea, cualquier otro acreditador con quien la ENAC tenga un acuerdo de reconocimiento internacional.</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5" w:name="_Toc130295302"/>
      <w:r w:rsidRPr="0050515C">
        <w:rPr>
          <w:rStyle w:val="ARTICULCar"/>
        </w:rPr>
        <w:t>Artículo 78</w:t>
      </w:r>
      <w:bookmarkEnd w:id="15"/>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Tipo impositivo.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El tipo impositivo será de 0,45 euros por kilogramo.</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6" w:name="_Toc130295303"/>
      <w:r w:rsidRPr="0050515C">
        <w:rPr>
          <w:rStyle w:val="ARTICULCar"/>
        </w:rPr>
        <w:t>Artículo 79.</w:t>
      </w:r>
      <w:bookmarkEnd w:id="16"/>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Cuota íntegra.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cuota íntegra es la cantidad resultante de aplicar a la base imponible el tipo impositivo establecido en el artículo anterior.</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7" w:name="_Toc130295304"/>
      <w:r w:rsidRPr="0050515C">
        <w:rPr>
          <w:rStyle w:val="ARTICULCar"/>
        </w:rPr>
        <w:t>Artículo 80</w:t>
      </w:r>
      <w:bookmarkEnd w:id="17"/>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Deducciones.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En la autoliquidación correspondiente a cada periodo de liquidación en que se produzcan las circunstancias siguientes, y en las condiciones que, en su caso, reglamentariamente se establezcan, el contribuyente que realice adquisiciones intracomunitarias de los productos que forman parte del ámbito objetivo del impuesto podrá minorar de las cuotas devengadas del impuesto en dicho periodo, el importe del impuesto pagado respecto de:</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Los productos que hayan sido enviados por el contribuyente, o por un tercero en su nombre o por su cuenta, fuera del territorio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Los productos que, con anterioridad a su primera entrega o puesta a disposición del adquirente en el territorio de aplicación del impuesto, hayan dejado de ser adecuados para su utilización o hayan sido destruidos.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Los productos que, tras su entrega o puesta a disposición del adquirente, hayan sido objeto de devolución para su destrucción o reincorporación al proceso de fabricación, previo reintegro del importe de los mismos al adquirente.</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lastRenderedPageBreak/>
        <w:t>La aplicación de las deducciones recogidas en este apartado quedará condicionada a que la existencia de los hechos enumerados pueda ser probada ante la Agencia Estatal de Administración Tributaria por cualquiera de los medios de prueba admisibles en derecho, así como a la acreditación del pago del impuesto mediante el correspondiente documento justificativo del mismo.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En las condiciones que, en su caso, reglamentariamente se establezcan, el contribuyente que realice la fabricación de los productos que forman parte del ámbito objetivo del impuesto y que sean objeto de devolución para su destrucción o para su reincorporación al proceso de fabricación, en la autoliquidación correspondiente al periodo en que se produzcan dichas circunstancias, podrá minorar, de las cuotas devengadas del impuesto en dicho periodo, el importe del impuesto pagado respecto de dichos productos que tras la primera entrega o puesta a disposición del adquirente hayan sido objeto de devolución, previo reintegro del importe de los mismos al adquirente.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aplicación de la deducción quedará condicionada a que la existencia de dichos hechos pueda ser probada ante la Agencia Estatal de Administración Tributaria por cualquiera de los medios de prueba admisibles en derecho, así como a la acreditación del pago del impuesto mediante el correspondiente documento justificativo del mismo.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 Cuando la cuantía de las deducciones procedentes conforme a los dos apartados anteriores supere el importe de las cuotas devengadas en un periodo de liquidación, el exceso podrá ser compensado en las autoliquidaciones posteriores, siempre que no hayan transcurrido cuatro años contados a partir de la finalización del periodo de liquidación en el que se produjo dicho exceso.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4. Los contribuyentes cuyas cuantías de deducción superen el importe de las cuotas devengadas en el último período de liquidación del año natural tendrán derecho a solicitar la devolución del saldo existente a su favor en la autoliquidación correspondiente a dicho período de liquidación.</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8" w:name="_Toc130295305"/>
      <w:r w:rsidRPr="0050515C">
        <w:rPr>
          <w:rStyle w:val="ARTICULCar"/>
        </w:rPr>
        <w:t>Artículo 81</w:t>
      </w:r>
      <w:bookmarkEnd w:id="18"/>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Devoluciones.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Tendrán derecho a solicitar la devolución del importe del impuesto pagado en las condiciones que, en su caso, reglamentariamente se establezcan:</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Los importadores de los productos que, formando parte del ámbito objetivo del impuesto, hayan sido enviados por ellos, o por un tercero en su nombre o por su cuenta, fuera del territorio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Los importadores de los productos que forman parte del ámbito objetivo del impuesto y que, con anterioridad a su primera entrega o puesta a disposición del adquirente en el territorio de aplicación del impuesto, hayan dejado de ser adecuados para su utilización o hayan sido destruidos.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Los importadores de los productos que forman parte del ámbito objetivo del impuesto y que, tras su entrega o puesta a disposición del adquirente, hayan sido objeto de devolución para su destrucción o para su reincorporación al proceso de fabricación, previo reintegro del importe de los mismos al adquirente.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Los adquirentes de los productos que forman parte del ámbito objetivo del impuesto que, no ostentando la condición de contribuyentes, acrediten el envío de los mismos fuera del territorio de aplicación de aquel.</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 Los adquirentes de los productos que forman parte del ámbito objetivo del impuesto y que, no ostentando la condición de contribuyentes, acrediten que el destino de dichos productos es el de envases de medicamentos, productos sanitarios, alimentos para usos médicos especiales, preparados para lactantes de uso hospitalario o residuos peligrosos de origen sanitario, o el de la obtención de envases para tales usos o el de permitir el cierre, la comercialización o la presentación de los envases para medicamentos, productos sanitarios, alimentos para usos médicos especiales, preparados para lactantes de uso hospitalario o residuos peligrosos de origen sanitario.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lastRenderedPageBreak/>
        <w:t>f) Los adquirentes de los productos que, formando parte del ámbito objetivo del impuesto, hayan resultado sujetos al mismo por haber sido concebidos, diseñados y comercializados para ser no reutilizables, cuando acrediten que, en su caso, tras la realización de alguna modificación en los mismos, puedan ser reutilizados.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g) Los adquirentes de:</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Los productos plásticos semielaborados, a los que hace referencia el artículo 68.1.b), cuando no se vayan a destinar a obtener los envases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Los productos que contengan plástico destinados a permitir el cierre, la comercialización o la presentación de envases no reutilizables cuando no se vayan a utilizar en dichos usos.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La efectividad de las devoluciones recogidas en el apartado anterior quedará condicionada a que la existencia de los hechos enumerados en las mismas pueda ser probada ante la Agencia Estatal de Administración Tributaria por cualquiera de los medios de prueba admisibles en derecho, así como a la acreditación del pago del impuesto.</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19" w:name="_Toc130295306"/>
      <w:r w:rsidRPr="0050515C">
        <w:rPr>
          <w:rStyle w:val="ARTICULCar"/>
        </w:rPr>
        <w:t>Artículo 82.</w:t>
      </w:r>
      <w:bookmarkEnd w:id="19"/>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Normas generales de gestión.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En los supuestos de fabricación o adquisición intracomunitaria, los contribuyentes estarán obligados a autoliquidar e ingresar el importe de la deuda tributaria.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El periodo de liquidación coincidirá con el trimestre natural, salvo que se trate de contribuyentes cuyo período de liquidación en el ámbito del Impuesto sobre el Valor Añadido fuera mensual, atendiendo a su volumen de operaciones u otras circunstancias previstas en la normativa de dicho impuesto, en cuyo caso será también mensual el periodo de liquidación de este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En las importaciones, el impuesto se liquidará en la forma prevista para la deuda aduanera según lo dispuesto en la normativa aduanera.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La persona titular del Ministerio de Hacienda establecerá los modelos, plazos y condiciones para la presentación de las autoliquidaciones a que se refiere el número anterior y, en su caso, para la solicitud d</w:t>
      </w:r>
      <w:r w:rsidR="00C40CDE">
        <w:rPr>
          <w:color w:val="000000"/>
          <w:sz w:val="20"/>
          <w:szCs w:val="20"/>
        </w:rPr>
        <w:t>e las devoluciones del impuesto</w:t>
      </w:r>
      <w:r w:rsidR="00C40CDE">
        <w:rPr>
          <w:color w:val="000000"/>
          <w:sz w:val="20"/>
          <w:szCs w:val="20"/>
          <w:vertAlign w:val="superscript"/>
        </w:rPr>
        <w:t>(</w:t>
      </w:r>
      <w:r w:rsidR="00C40CDE">
        <w:rPr>
          <w:rStyle w:val="Refdenotaalpie"/>
          <w:color w:val="000000"/>
          <w:sz w:val="20"/>
          <w:szCs w:val="20"/>
        </w:rPr>
        <w:footnoteReference w:id="1"/>
      </w:r>
      <w:r w:rsidR="00C40CDE">
        <w:rPr>
          <w:color w:val="000000"/>
          <w:sz w:val="20"/>
          <w:szCs w:val="20"/>
          <w:vertAlign w:val="superscript"/>
        </w:rPr>
        <w:t>)</w:t>
      </w:r>
      <w:r w:rsidR="00C40CDE">
        <w:rPr>
          <w:color w:val="000000"/>
          <w:sz w:val="20"/>
          <w:szCs w:val="20"/>
        </w:rPr>
        <w:t>.</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 Los contribuyentes que realicen las actividades señaladas en el artículo 72.1 de esta ley, salvo aquellos que se determine mediante Orden de la persona titular del Ministerio de Hacienda, estarán obligados a inscribirse, con anterioridad al inicio de su actividad, en el Registro territorial del Impuesto especial sobre los envases de plástico no reutilizables.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El censo de obligados tributarios sometidos a este impuesto, así como el procedimiento para la inscripción de estos en el Registro territorial se regularán por Orden de la persona titular del Ministerio de Hacienda.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4. Sin perjuicio de las obligaciones contables establecidas en otras normas, los fabricantes que mediante Orden de la persona titular del Ministerio de Hacienda se determine, deberán llevar una contabilidad de los productos que forman parte del ámbito objetivo del impuesto, y, en su caso, de las materias primas necesarias para su obtención. El cumplimiento de la obligación de llevanza de la contabilidad se realizará mediante un sistema contable en soporte informático, a través de la sede electrónica de la Agencia Estatal de Administración Tributaria, con el suministro electrónico de los asientos </w:t>
      </w:r>
      <w:r w:rsidRPr="00CB3BCB">
        <w:rPr>
          <w:color w:val="000000"/>
          <w:sz w:val="20"/>
          <w:szCs w:val="20"/>
        </w:rPr>
        <w:lastRenderedPageBreak/>
        <w:t>contables conforme al procedimiento y en los plazos que se determinen por la persona titular del Ministerio de Hacienda.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5. Los contribuyentes que realicen adquisiciones intracomunitarias de los productos que forman parte del ámbito objetivo del impuesto, salvo aquellos que se determine mediante Orden de la persona titular del Ministerio de Hacienda, llevarán un libro registro de existencias, que deberán presentar ante la oficina gestora conforme al procedimiento y en los plazos que se determinen por la persona titular del Ministerio de Hacienda.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6. En las importaciones de los productos que forman parte del ámbito objetivo del impuesto se deberá consignar la cantidad de plástico no reciclado importado, expresado en kilogramos y si le resulta de aplicación la exención regulada en el artículo 75.f), en el apartado que proceda de la declaración aduanera de importación.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7. Los contribuyentes no establecidos en territorio español estarán obligados a nombrar una persona física o jurídica para que les represente ante la Administración tributaria en relación con sus obligaciones por este impuesto, debiendo realizar dicho nombramiento con anterioridad a la realización de la primera operación que constituya hecho imponible de este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persona física o jurídica que represente a los contribuyentes no establecidos en el territorio español estará obligada a inscribirse, con anterioridad a la realización de la primera operación que constituya algún hecho imponible de este impuesto, en el Registro territorial del impuesto especial sobre los envases de plástico no reutilizables.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8. Los contribuyentes y las personas físicas o jurídicas que representen a los contribuyentes no establecidos en el territorio español que, de acuerdo con lo establecido en los apartados anteriores de este artículo, deban inscribirse en el Registro territorial del impuesto especial sobre los envases de plástico no reutilizables, deberán hacerlo durante los treinta días naturales siguientes a la entrada en vigor de la Orden reguladora del citado registro.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9. Con ocasión de las ventas o entregas de los productos objeto del impuesto en el ámbito territorial de aplicación del mismo, se deberán cumplir las siguientes obligaciones: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En la primera venta o entrega realizada tras la fabricación de los productos en el ámbito territorial del impuesto, los fabricantes deberán repercutir al adquirente el importe de las cuotas del impuesto que se devenguen al realizar dicha venta o entrega. En la factura que expidan deberán consignar separadamente:</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El importe de las cuotas devengadas.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La cantidad de plástico no reciclado contenido en los productos, expresada en kilogramos.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3.º Si resulta de aplicación algún supuesto de exención, especificando el artículo en virtud del cual la venta o entrega resulta exenta.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En los demás supuestos, previa solicitud del adquirente, quienes realicen las ventas o entregas de los productos objeto del impuesto deberán consignar en un certificado, o en las facturas que expidan con ocasión de dichas ventas o entregas: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El importe del impuesto satisfecho por dichos productos o, si le resultó de aplicación algún supuesto de exención, especificando el artículo en virtud del cual se aplicó dicho beneficio fiscal.</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La cantidad de plástico no reciclado contenido en los productos, expresada en kilogramos.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Lo establecido en esta letra no resultará de aplicación cuando se expidan facturas simplificadas con el contenido a que se refiere el artículo 7.1 del Reglamento por el que se regulan las obligaciones de facturación, aprobado por el Real Decreto 1619/2012, de 30 de noviembre.</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0" w:name="_Toc130295307"/>
      <w:r w:rsidRPr="0050515C">
        <w:rPr>
          <w:rStyle w:val="ARTICULCar"/>
        </w:rPr>
        <w:lastRenderedPageBreak/>
        <w:t>Artículo 83</w:t>
      </w:r>
      <w:bookmarkEnd w:id="20"/>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Infracciones y sanciones.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Sin perjuicio de las disposiciones especiales previstas en este artículo, las infracciones tributarias en este impuesto se calificarán y sancionarán conforme a lo establecido en la Ley 58/2003, de 17 de diciembre, General Tributaria y demás normas de desarrollo.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Constituirán infracciones tributarias: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La falta de inscripción en el Registro territorial del impuesto especial sobre los envases de plástico no reutilizables.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La falta de nombramiento de un representante por los contribuyentes no establecidos en dicho territorio.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La falsa o incorrecta certificación por la entidad debidamente acreditada, de la cantidad de plástico reciclado, expresada en kilogramos, contenida en los productos que forman parte del ámbito objetivo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El disfrute indebido por parte de los adquirentes de los productos que forman parte del ámbito objetivo del impuesto de las exenciones recogidas en el artículo 75.a) y g) por no ser el destino efectivo de los productos el consignado en dichas letras.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 La incorrecta consignación en la factura o en el certificado de los datos a los que se refiere el artículo 82.9.</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 Las infracciones contenidas en el apartado 2 de este artículo serán graves y se sancionarán con arreglo a las siguientes normas: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Las establecidas en las letras a) y b) del apartado anterior, con una multa pecuniaria fija de 1.000 euros.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La establecida en la letra c) del apartado anterior, con una multa pecuniaria proporcional del 50 por ciento del importe de las cuotas del impuesto que se hubiesen podido dejar de ingresar, con un importe mínimo de 1.000 euros.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sanción que corresponda conforme a lo señalado en esta letra b) se incrementará en el 25 por ciento si existe comisión repetida de infracciones tributarias. Esta circunstancia se apreciará cuando el infractor, dentro de los dos años anteriores a la comisión de la nueva infracción, hubiese sido sancionado por resolución firme en vía administrativa por la misma conducta.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La establecida en la letra d) del apartado anterior, con una multa pecuniaria proporcional del 150 por ciento del beneficio fiscal indebidamente disfrutado, con un importe mínimo de 1.000 euros.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La establecida en la letra e) con multa pecuniaria fija de 75 euros por cada factura o certificado emitido con la consignación incorrecta de los datos a los que se refiere el artículo 82.9.</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4. En los supuestos recogidos en el apartado anterior resultará de aplicación lo dispuesto en el artículo 188 de la Ley 58/2003, de 17 de diciembre, General Tributaria.</w:t>
      </w:r>
    </w:p>
    <w:p w:rsidR="00CB3BCB" w:rsidRPr="00CB3BCB" w:rsidRDefault="00CB3BCB" w:rsidP="009F03C2">
      <w:pPr>
        <w:pStyle w:val="CAPTULO"/>
        <w:spacing w:before="0" w:after="240" w:line="276" w:lineRule="auto"/>
      </w:pPr>
      <w:bookmarkStart w:id="21" w:name="_Toc130295308"/>
      <w:r w:rsidRPr="00CB3BCB">
        <w:t>CAPÍTULO II</w:t>
      </w:r>
      <w:bookmarkEnd w:id="21"/>
    </w:p>
    <w:p w:rsidR="00CB3BCB" w:rsidRPr="00CB3BCB" w:rsidRDefault="00CB3BCB" w:rsidP="009F03C2">
      <w:pPr>
        <w:pStyle w:val="CAPTULO"/>
        <w:spacing w:before="0" w:after="240" w:line="276" w:lineRule="auto"/>
        <w:rPr>
          <w:bCs/>
        </w:rPr>
      </w:pPr>
      <w:bookmarkStart w:id="22" w:name="_Toc130295309"/>
      <w:r w:rsidRPr="00CB3BCB">
        <w:t xml:space="preserve">Impuesto sobre el depósito de residuos en vertederos, la incineración y la </w:t>
      </w:r>
      <w:proofErr w:type="spellStart"/>
      <w:r w:rsidRPr="00CB3BCB">
        <w:t>coincineración</w:t>
      </w:r>
      <w:proofErr w:type="spellEnd"/>
      <w:r w:rsidRPr="00CB3BCB">
        <w:t xml:space="preserve"> de residuos</w:t>
      </w:r>
      <w:bookmarkEnd w:id="22"/>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3" w:name="_Toc130295310"/>
      <w:r w:rsidRPr="0050515C">
        <w:rPr>
          <w:rStyle w:val="ARTICULCar"/>
        </w:rPr>
        <w:lastRenderedPageBreak/>
        <w:t>Artículo 84</w:t>
      </w:r>
      <w:bookmarkEnd w:id="23"/>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Naturaleza y finalidad.</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1. El Impuesto sobre el depósito de residuos en vertederos, la incineración y la </w:t>
      </w:r>
      <w:proofErr w:type="spellStart"/>
      <w:r w:rsidRPr="00CB3BCB">
        <w:rPr>
          <w:color w:val="000000"/>
          <w:sz w:val="20"/>
          <w:szCs w:val="20"/>
        </w:rPr>
        <w:t>coincineración</w:t>
      </w:r>
      <w:proofErr w:type="spellEnd"/>
      <w:r w:rsidRPr="00CB3BCB">
        <w:rPr>
          <w:color w:val="000000"/>
          <w:sz w:val="20"/>
          <w:szCs w:val="20"/>
        </w:rPr>
        <w:t xml:space="preserve"> de residuos es un tributo de carácter indirecto que recae sobre la entrega de residuos en vertederos, instalaciones de incineración o de </w:t>
      </w:r>
      <w:proofErr w:type="spellStart"/>
      <w:r w:rsidRPr="00CB3BCB">
        <w:rPr>
          <w:color w:val="000000"/>
          <w:sz w:val="20"/>
          <w:szCs w:val="20"/>
        </w:rPr>
        <w:t>coincineración</w:t>
      </w:r>
      <w:proofErr w:type="spellEnd"/>
      <w:r w:rsidRPr="00CB3BCB">
        <w:rPr>
          <w:color w:val="000000"/>
          <w:sz w:val="20"/>
          <w:szCs w:val="20"/>
        </w:rPr>
        <w:t xml:space="preserve"> para su eliminación o valorización energética.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2. La finalidad del impuesto es el fomento de la prevención, la preparación para la reutilización y el reciclado de los residuos, con la fracción orgánica como fracción preferente y la educación ambiental, al objeto de desincentivar el depósito de residuos en vertedero, la incineración y su </w:t>
      </w:r>
      <w:proofErr w:type="spellStart"/>
      <w:r w:rsidRPr="00CB3BCB">
        <w:rPr>
          <w:color w:val="000000"/>
          <w:sz w:val="20"/>
          <w:szCs w:val="20"/>
        </w:rPr>
        <w:t>coincineración</w:t>
      </w:r>
      <w:proofErr w:type="spellEnd"/>
      <w:r w:rsidRPr="00CB3BCB">
        <w:rPr>
          <w:color w:val="000000"/>
          <w:sz w:val="20"/>
          <w:szCs w:val="20"/>
        </w:rPr>
        <w:t>.</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4" w:name="_Toc130295311"/>
      <w:r w:rsidRPr="0050515C">
        <w:rPr>
          <w:rStyle w:val="ARTICULCar"/>
        </w:rPr>
        <w:t>Artículo 85.</w:t>
      </w:r>
      <w:bookmarkEnd w:id="24"/>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Ámbito de aplicación.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El impuesto se aplicará en todo el territorio español.</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Lo dispuesto en el apartado anterior se entenderá sin perjuicio de los regímenes tributarios forales de concierto y convenio económico en vigor, respectivamente, en los Territorios Históricos del País Vasco y en la Comunidad Foral de Navarra.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5" w:name="_Toc130295312"/>
      <w:r w:rsidRPr="0050515C">
        <w:rPr>
          <w:rStyle w:val="ARTICULCar"/>
        </w:rPr>
        <w:t>Artículo 86</w:t>
      </w:r>
      <w:bookmarkEnd w:id="25"/>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Tratados y Convenios.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Lo establecido en este capítulo II se entenderá sin perjuicio de lo dispuesto en los tratados y convenios internacionales que hayan pasado a formar parte del ordenamiento interno, de conformidad con el artículo 96 de la Constitución Española.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6" w:name="_Toc130295313"/>
      <w:r w:rsidRPr="0050515C">
        <w:rPr>
          <w:rStyle w:val="ARTICULCar"/>
        </w:rPr>
        <w:t>Artículo 87.</w:t>
      </w:r>
      <w:bookmarkEnd w:id="26"/>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Conceptos y definiciones.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A efectos de este impuesto se entenderá por:</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a) «Instalación de </w:t>
      </w:r>
      <w:proofErr w:type="spellStart"/>
      <w:r w:rsidRPr="00CB3BCB">
        <w:rPr>
          <w:color w:val="000000"/>
          <w:sz w:val="20"/>
          <w:szCs w:val="20"/>
        </w:rPr>
        <w:t>coincineración</w:t>
      </w:r>
      <w:proofErr w:type="spellEnd"/>
      <w:r w:rsidRPr="00CB3BCB">
        <w:rPr>
          <w:color w:val="000000"/>
          <w:sz w:val="20"/>
          <w:szCs w:val="20"/>
        </w:rPr>
        <w:t xml:space="preserve"> de residuos»: la definida conforme a lo establecido en el artículo 2.15 del Reglamento de emisiones industriales y de desarrollo de la Ley 16/2002, de 1 de julio, de prevención y control integrados de la contaminación, aprobado por el Real Decreto 815/2013, de 18 de octubre.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«Instalación de incineración de residuos»: la definida conforme a lo establecido en el artículo 2.18 del Reglamento de emisiones industriales y de desarrollo de la Ley 16/2002.</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 «Instalación de incineración de residuos municipales codificada como operación D10»: la instalación de incineración de residuos municipales y de rechazos de residuos municipales que no supere los umbrales establecidos en el anexo II de esta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«Instalación de incineración de residuos municipales codificada como operación R01»: la instalación de incineración de residuos municipales y de rechazos de residuos municipales que supere los umbrales establecidos en el anexo II de esta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e) «Oficina gestora»: el órgano que, de acuerdo con las normas de estructura orgánica de la Agencia Estatal de Administración Tributaria o de la correspondiente comunidad autónoma, en su caso, sea competente en materia de gestión del Impuesto sobre el depósito de residuos en vertederos, la incineración y la </w:t>
      </w:r>
      <w:proofErr w:type="spellStart"/>
      <w:r w:rsidRPr="00CB3BCB">
        <w:rPr>
          <w:color w:val="000000"/>
          <w:sz w:val="20"/>
          <w:szCs w:val="20"/>
        </w:rPr>
        <w:t>coincineración</w:t>
      </w:r>
      <w:proofErr w:type="spellEnd"/>
      <w:r w:rsidRPr="00CB3BCB">
        <w:rPr>
          <w:color w:val="000000"/>
          <w:sz w:val="20"/>
          <w:szCs w:val="20"/>
        </w:rPr>
        <w:t xml:space="preserve"> de residuos.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f) «Rechazos de residuos municipales»: los residuos resultantes de los tratamientos de residuos municipales mencionados en las letras d), e) y g) del apartado 1 del anexo IV del Real Decreto 646/2020, de 7 de julio. Tienen la consideración de rechazos los combustibles sólidos recuperados y combustibles derivados de residuos municipales.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g) «Residuos»: los definidos en el artículo 2.al) de esta ley, con las exclusiones establecidas en los artículos 3.2 y 3.3 de esta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h) «Residuos inertes»: los residuos definidos en el artículo 2.a) del Real Decreto 646/2020, de 7 de julio.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lastRenderedPageBreak/>
        <w:t xml:space="preserve">i) «Residuos municipales»: los residuos definidos en el artículo </w:t>
      </w:r>
      <w:proofErr w:type="gramStart"/>
      <w:r w:rsidRPr="00CB3BCB">
        <w:rPr>
          <w:color w:val="000000"/>
          <w:sz w:val="20"/>
          <w:szCs w:val="20"/>
        </w:rPr>
        <w:t>2.av</w:t>
      </w:r>
      <w:proofErr w:type="gramEnd"/>
      <w:r w:rsidRPr="00CB3BCB">
        <w:rPr>
          <w:color w:val="000000"/>
          <w:sz w:val="20"/>
          <w:szCs w:val="20"/>
        </w:rPr>
        <w:t>) de esta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j) «Vertedero»: instalación para la eliminación de residuos mediante depósito en superficie o subterráneo. Se encuentran incluidas las instalaciones autorizadas para llevar a cabo las operaciones codificadas como D01, D05 y D12 del anexo III de esta ley.</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Respecto a los conceptos y términos con sustantividad propia que aparecen en este capítulo, salvo los definidos en este capítulo, se estará a lo dispuesto en la normativa de la Unión Europea y de carácter estatal relativa a los productos incluidos en el ámbito objetivo del impuesto.</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7" w:name="_Toc130295314"/>
      <w:r w:rsidRPr="0050515C">
        <w:rPr>
          <w:rStyle w:val="ARTICULCar"/>
        </w:rPr>
        <w:t>Artículo 88.</w:t>
      </w:r>
      <w:bookmarkEnd w:id="27"/>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Hecho imponible.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Constituye el hecho imponible del impuesto:</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La entrega de residuos para su eliminación en vertederos autorizados, de titularidad pública o privada, situados en el territorio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La entrega de residuos para su eliminación o valorización energética en las instalaciones de incineración de residuos autorizadas, tanto de titularidad pública como privada, situadas en el territorio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c) La entrega de residuos para su eliminación o valorización energética en las instalaciones de </w:t>
      </w:r>
      <w:proofErr w:type="spellStart"/>
      <w:r w:rsidRPr="00CB3BCB">
        <w:rPr>
          <w:color w:val="000000"/>
          <w:sz w:val="20"/>
          <w:szCs w:val="20"/>
        </w:rPr>
        <w:t>coincineración</w:t>
      </w:r>
      <w:proofErr w:type="spellEnd"/>
      <w:r w:rsidRPr="00CB3BCB">
        <w:rPr>
          <w:color w:val="000000"/>
          <w:sz w:val="20"/>
          <w:szCs w:val="20"/>
        </w:rPr>
        <w:t xml:space="preserve"> de residuos autorizadas, tanto de titularidad pública como privada, situadas en el territorio de aplicación del impuesto.</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8" w:name="_Toc130295315"/>
      <w:r w:rsidRPr="0050515C">
        <w:rPr>
          <w:rStyle w:val="ARTICULCar"/>
        </w:rPr>
        <w:t>Artículo 89</w:t>
      </w:r>
      <w:bookmarkEnd w:id="28"/>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Exenciones.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Estarán exentas del impuesto:</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a) La entrega de residuos en vertederos, o en instalaciones de incineración, o de </w:t>
      </w:r>
      <w:proofErr w:type="spellStart"/>
      <w:r w:rsidRPr="00CB3BCB">
        <w:rPr>
          <w:color w:val="000000"/>
          <w:sz w:val="20"/>
          <w:szCs w:val="20"/>
        </w:rPr>
        <w:t>coincineración</w:t>
      </w:r>
      <w:proofErr w:type="spellEnd"/>
      <w:r w:rsidRPr="00CB3BCB">
        <w:rPr>
          <w:color w:val="000000"/>
          <w:sz w:val="20"/>
          <w:szCs w:val="20"/>
        </w:rPr>
        <w:t xml:space="preserve"> de residuos, ordenada por las autoridades públicas en situaciones de fuerza mayor, extrema necesidad o catástrofe, o cuando se trate de decomisos de bienes a destruir.</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b) La entrega de residuos en vertederos, o en instalaciones de incineración, o de </w:t>
      </w:r>
      <w:proofErr w:type="spellStart"/>
      <w:r w:rsidRPr="00CB3BCB">
        <w:rPr>
          <w:color w:val="000000"/>
          <w:sz w:val="20"/>
          <w:szCs w:val="20"/>
        </w:rPr>
        <w:t>coincineración</w:t>
      </w:r>
      <w:proofErr w:type="spellEnd"/>
      <w:r w:rsidRPr="00CB3BCB">
        <w:rPr>
          <w:color w:val="000000"/>
          <w:sz w:val="20"/>
          <w:szCs w:val="20"/>
        </w:rPr>
        <w:t xml:space="preserve"> de residuos que procedan de operaciones sujetas que hubiesen tributado efectivamente por este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c) La entrega de residuos en vertederos o en instalaciones de incineración o de </w:t>
      </w:r>
      <w:proofErr w:type="spellStart"/>
      <w:r w:rsidRPr="00CB3BCB">
        <w:rPr>
          <w:color w:val="000000"/>
          <w:sz w:val="20"/>
          <w:szCs w:val="20"/>
        </w:rPr>
        <w:t>coincineración</w:t>
      </w:r>
      <w:proofErr w:type="spellEnd"/>
      <w:r w:rsidRPr="00CB3BCB">
        <w:rPr>
          <w:color w:val="000000"/>
          <w:sz w:val="20"/>
          <w:szCs w:val="20"/>
        </w:rPr>
        <w:t xml:space="preserve"> de residuos para los que exista la obligación legal de eliminación en estas instalaciones.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La entrega en vertedero, por parte de las administraciones, de los residuos procedentes de la descontaminación de suelos que no hayan podido ser tratados in situ de acuerdo con lo señalado en el artículo 7.3 del Real Decreto 9/2005, cuando las Administraciones actúen subsidiariamente directa o indirectamente en actuaciones de descontaminación de suelos contaminados declaradas de interés general por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 La entrega en vertederos de residuos inertes adecuados para obras de restauración, acondicionamiento o relleno realizadas en el mismo y con fines de construcción.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f) La entrega en vertedero o en instalaciones de incineración o de </w:t>
      </w:r>
      <w:proofErr w:type="spellStart"/>
      <w:r w:rsidRPr="00CB3BCB">
        <w:rPr>
          <w:color w:val="000000"/>
          <w:sz w:val="20"/>
          <w:szCs w:val="20"/>
        </w:rPr>
        <w:t>coincineración</w:t>
      </w:r>
      <w:proofErr w:type="spellEnd"/>
      <w:r w:rsidRPr="00CB3BCB">
        <w:rPr>
          <w:color w:val="000000"/>
          <w:sz w:val="20"/>
          <w:szCs w:val="20"/>
        </w:rPr>
        <w:t>, de residuos resultantes de operaciones de tratamiento distintos de los rechazos de residuos municipales, procedentes de instalaciones que realizan operaciones de valorización que no sean operaciones de tratamiento intermedio.</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29" w:name="_Toc130295316"/>
      <w:r w:rsidRPr="0050515C">
        <w:rPr>
          <w:rStyle w:val="ARTICULCar"/>
        </w:rPr>
        <w:t>Artículo 90</w:t>
      </w:r>
      <w:bookmarkEnd w:id="29"/>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Devengo.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El impuesto se devengará cuando se realice el depósito de los residuos en el vertedero o en el momento de la incineración o </w:t>
      </w:r>
      <w:proofErr w:type="spellStart"/>
      <w:r w:rsidRPr="00CB3BCB">
        <w:rPr>
          <w:color w:val="000000"/>
          <w:sz w:val="20"/>
          <w:szCs w:val="20"/>
        </w:rPr>
        <w:t>coincineración</w:t>
      </w:r>
      <w:proofErr w:type="spellEnd"/>
      <w:r w:rsidRPr="00CB3BCB">
        <w:rPr>
          <w:color w:val="000000"/>
          <w:sz w:val="20"/>
          <w:szCs w:val="20"/>
        </w:rPr>
        <w:t xml:space="preserve"> de los residuos en las instalaciones de incineración de residuos o de </w:t>
      </w:r>
      <w:proofErr w:type="spellStart"/>
      <w:r w:rsidRPr="00CB3BCB">
        <w:rPr>
          <w:color w:val="000000"/>
          <w:sz w:val="20"/>
          <w:szCs w:val="20"/>
        </w:rPr>
        <w:t>coincineración</w:t>
      </w:r>
      <w:proofErr w:type="spellEnd"/>
      <w:r w:rsidRPr="00CB3BCB">
        <w:rPr>
          <w:color w:val="000000"/>
          <w:sz w:val="20"/>
          <w:szCs w:val="20"/>
        </w:rPr>
        <w:t xml:space="preserve"> de residuos.</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0" w:name="_Toc130295317"/>
      <w:r w:rsidRPr="0050515C">
        <w:rPr>
          <w:rStyle w:val="ARTICULCar"/>
        </w:rPr>
        <w:lastRenderedPageBreak/>
        <w:t>Artículo 91.</w:t>
      </w:r>
      <w:bookmarkEnd w:id="30"/>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Sujetos pasivos: contribuyentes y sustitutos del contribuyente.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Son contribuyentes del impuesto las personas físicas o jurídicas y las entidades a que se refiere el artículo 35.4 de la Ley 58/2003, de 17 de diciembre, General Tributaria, que realicen el hecho imponible.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2. Son sujetos pasivos como sustitutos del contribuyente del impuesto las personas físicas o jurídicas y las entidades a que se refiere el artículo 35.4 de la Ley 58/2003, de 17 de diciembre, General Tributaria, que sean gestores de los vertederos, o de las instalaciones de incineración, o de </w:t>
      </w:r>
      <w:proofErr w:type="spellStart"/>
      <w:r w:rsidRPr="00CB3BCB">
        <w:rPr>
          <w:color w:val="000000"/>
          <w:sz w:val="20"/>
          <w:szCs w:val="20"/>
        </w:rPr>
        <w:t>coincineración</w:t>
      </w:r>
      <w:proofErr w:type="spellEnd"/>
      <w:r w:rsidRPr="00CB3BCB">
        <w:rPr>
          <w:color w:val="000000"/>
          <w:sz w:val="20"/>
          <w:szCs w:val="20"/>
        </w:rPr>
        <w:t xml:space="preserve"> de residuos cuando sean distintas de quienes realicen el hecho imponible.</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1" w:name="_Toc130295318"/>
      <w:r w:rsidRPr="0050515C">
        <w:rPr>
          <w:rStyle w:val="ARTICULCar"/>
        </w:rPr>
        <w:t>Artículo 92</w:t>
      </w:r>
      <w:bookmarkEnd w:id="31"/>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Base imponible.</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1. La base imponible estará constituida por el peso, referido en toneladas métricas con expresión de tres decimales, de los residuos depositados en vertederos, incinerados o </w:t>
      </w:r>
      <w:proofErr w:type="spellStart"/>
      <w:r w:rsidRPr="00CB3BCB">
        <w:rPr>
          <w:color w:val="000000"/>
          <w:sz w:val="20"/>
          <w:szCs w:val="20"/>
        </w:rPr>
        <w:t>coincinerados</w:t>
      </w:r>
      <w:proofErr w:type="spellEnd"/>
      <w:r w:rsidRPr="00CB3BCB">
        <w:rPr>
          <w:color w:val="000000"/>
          <w:sz w:val="20"/>
          <w:szCs w:val="20"/>
        </w:rPr>
        <w:t>.</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La base imponible definida en el apartado anterior se determinará por cada instalación en la que se realicen las actividades que constituyen el hecho imponible de este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3. Cuando la Administración no pueda determinar la base imponible mediante estimación directa, podrá hacerlo mediante estimación indirecta, conforme lo previsto en el artículo 53 de la Ley 58/2003, de 17 de diciembre, General Tributaria. Para la estimación indirecta de la base imponible, la Administración podrá tener en cuenta cualquier dato, circunstancia o antecedente que pueda resultar indicativo del peso de los residuos depositados, incinerados o </w:t>
      </w:r>
      <w:proofErr w:type="spellStart"/>
      <w:r w:rsidRPr="00CB3BCB">
        <w:rPr>
          <w:color w:val="000000"/>
          <w:sz w:val="20"/>
          <w:szCs w:val="20"/>
        </w:rPr>
        <w:t>coincinerados</w:t>
      </w:r>
      <w:proofErr w:type="spellEnd"/>
      <w:r w:rsidRPr="00CB3BCB">
        <w:rPr>
          <w:color w:val="000000"/>
          <w:sz w:val="20"/>
          <w:szCs w:val="20"/>
        </w:rPr>
        <w:t xml:space="preserve">, y en particular el levantamiento topográfico del volumen de residuo y la caracterización del residuo depositado, incinerado o </w:t>
      </w:r>
      <w:proofErr w:type="spellStart"/>
      <w:r w:rsidRPr="00CB3BCB">
        <w:rPr>
          <w:color w:val="000000"/>
          <w:sz w:val="20"/>
          <w:szCs w:val="20"/>
        </w:rPr>
        <w:t>coincinerado</w:t>
      </w:r>
      <w:proofErr w:type="spellEnd"/>
      <w:r w:rsidRPr="00CB3BCB">
        <w:rPr>
          <w:color w:val="000000"/>
          <w:sz w:val="20"/>
          <w:szCs w:val="20"/>
        </w:rPr>
        <w:t>, con determinación de la densidad y composición.</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2" w:name="_Toc130295319"/>
      <w:r w:rsidRPr="0050515C">
        <w:rPr>
          <w:rStyle w:val="ARTICULCar"/>
        </w:rPr>
        <w:t>Artículo 93</w:t>
      </w:r>
      <w:bookmarkEnd w:id="32"/>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Cuota íntegra.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La cuota íntegra será el resultado de aplicar a la base imponible el tipo impositivo que corresponda: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En el caso de residuos depositados en vertederos de residuos no peligrosos: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Si se trata de residuos municipales: 40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Si se trata de rechazos de residuos municipales: 30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3.º Si se trata de residuos distintos de los especificados en los números 1.º y 2.º anteriores que hayan sido eximidos de tratamiento previo en los términos establecidos en el artículo 7.2 del Real Decreto 646/2020, de 7 de julio:</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Con carácter general: 15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Si se trata de residuos con un componente de residuos inerte superior al 75 por ciento: la parte del residuo inerte 3 euros por tonelada y el resto 15 euros por tonelada.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4.º Si se trata de otro tipo de residuos: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Con carácter general: 10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Si se trata de residuos con un componente de residuos inerte superior al 75 por ciento: la parte del residuo inerte 1,5 euros por tonelada y el resto 10 euros por tonelada.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b) En el caso de residuos depositados en vertederos de residuos peligrosos: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Si se trata de residuos que hayan sido eximidos de tratamiento previo en los términos establecidos en el artículo 7.2 del Real Decreto 646/2020, de 7 de julio: 8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Si se trata de otro tipo de residuos: 5 euros por tonelada métrica.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lastRenderedPageBreak/>
        <w:t>c) En el caso de residuos depositados en vertederos de residuos inertes: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Si se trata de residuos que hayan sido eximidos de tratamiento previo en los términos establecidos en el artículo 7.2 del Real Decreto 646/2020, de 7 de julio: 3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Si se trata de otro tipo de residuos: 1,5 euros por tonelada métrica.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 En el caso de instalaciones de incineración de residuos municipales que realicen operaciones de eliminación codificadas como operaciones D10:</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Si se trata de residuos municipales: 20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Si se trata de rechazos de residuos municipales: 15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3.º Si se trata de residuos diferentes de los especificados en los números 1.º y 2.º anteriores: 7 euros por tonelada métrica.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 En el caso de instalaciones de incineración de residuos municipales que realicen operaciones de valorización codificadas como operaciones R01:</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Si se trata de residuos municipales: 15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Si se trata de rechazos de residuos municipales: 10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3.º Si se trata de residuos diferentes de los especificados en los números 1.º y 2.º anteriores: 4 euros por tonelada métrica.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f) En el caso de otras instalaciones de incineración de residuos:</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1.º Si se trata de residuos municipales: 20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2.º Si se trata de rechazos de residuos municipales: 15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3.º Si se trata de residuos diferentes de los especificados en los números 1.º y 2.º anteriores que no han sido sometidos a las operaciones de tratamiento codificadas como R02, R03, R04, R05, R06, R07, R08, R09, R12, D08, D09, D13 y D14 en los anexos II y III de esta ley: 5 euros por tonelada métrica.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4.º Si se trata de otro tipo de residuos: 3 euros por tonelada métrica.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g) En el caso de residuos </w:t>
      </w:r>
      <w:proofErr w:type="spellStart"/>
      <w:r w:rsidRPr="00CB3BCB">
        <w:rPr>
          <w:color w:val="000000"/>
          <w:sz w:val="20"/>
          <w:szCs w:val="20"/>
        </w:rPr>
        <w:t>coincinerados</w:t>
      </w:r>
      <w:proofErr w:type="spellEnd"/>
      <w:r w:rsidRPr="00CB3BCB">
        <w:rPr>
          <w:color w:val="000000"/>
          <w:sz w:val="20"/>
          <w:szCs w:val="20"/>
        </w:rPr>
        <w:t xml:space="preserve"> en instalaciones de </w:t>
      </w:r>
      <w:proofErr w:type="spellStart"/>
      <w:r w:rsidRPr="00CB3BCB">
        <w:rPr>
          <w:color w:val="000000"/>
          <w:sz w:val="20"/>
          <w:szCs w:val="20"/>
        </w:rPr>
        <w:t>coincineración</w:t>
      </w:r>
      <w:proofErr w:type="spellEnd"/>
      <w:r w:rsidRPr="00CB3BCB">
        <w:rPr>
          <w:color w:val="000000"/>
          <w:sz w:val="20"/>
          <w:szCs w:val="20"/>
        </w:rPr>
        <w:t xml:space="preserve"> de residuos: 0 euros por tonelada métrica.</w:t>
      </w:r>
    </w:p>
    <w:p w:rsidR="00CB3BCB" w:rsidRPr="00CB3BCB" w:rsidRDefault="00CB3BCB" w:rsidP="009F03C2">
      <w:pPr>
        <w:pStyle w:val="parrafo2"/>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2. Las comunidades autónomas podrán incrementar los tipos impositivos recogidos en el apartado anterior respecto de los residuos depositados, incinerados o </w:t>
      </w:r>
      <w:proofErr w:type="spellStart"/>
      <w:r w:rsidRPr="00CB3BCB">
        <w:rPr>
          <w:color w:val="000000"/>
          <w:sz w:val="20"/>
          <w:szCs w:val="20"/>
        </w:rPr>
        <w:t>coincinerados</w:t>
      </w:r>
      <w:proofErr w:type="spellEnd"/>
      <w:r w:rsidRPr="00CB3BCB">
        <w:rPr>
          <w:color w:val="000000"/>
          <w:sz w:val="20"/>
          <w:szCs w:val="20"/>
        </w:rPr>
        <w:t xml:space="preserve"> en sus respectivos territorios.</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3" w:name="_Toc130295320"/>
      <w:r w:rsidRPr="0050515C">
        <w:rPr>
          <w:rStyle w:val="ARTICULCar"/>
        </w:rPr>
        <w:t>Artículo 94.</w:t>
      </w:r>
      <w:bookmarkEnd w:id="33"/>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Repercusión.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Los sustitutos del contribuyente deberán repercutir el importe de las cuotas devengadas sobre los contribuyentes del impuesto, quedando estos obligados a soportarlas. No será exigible la repercusión en los supuestos de liquidaciones practicadas por la Administración y en los casos en los que el propio contribuyente deba presentar la correspondiente autoliquidación.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La repercusión de las cuotas devengadas se efectuará en la factura separadamente del resto de conceptos comprendidos en ella.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4" w:name="_Toc130295321"/>
      <w:r w:rsidRPr="0050515C">
        <w:rPr>
          <w:rStyle w:val="ARTICULCar"/>
        </w:rPr>
        <w:t>Artículo 95</w:t>
      </w:r>
      <w:bookmarkEnd w:id="34"/>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Normas generales de aplicación del impuesto.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1. La competencia para la gestión, liquidación, recaudación e inspección del impuesto corresponderá a la Agencia Estatal de Administración Tributaria o, en su caso, a las oficinas con análogas funciones de </w:t>
      </w:r>
      <w:r w:rsidRPr="00CB3BCB">
        <w:rPr>
          <w:color w:val="000000"/>
          <w:sz w:val="20"/>
          <w:szCs w:val="20"/>
        </w:rPr>
        <w:lastRenderedPageBreak/>
        <w:t>las comunidades autónomas, en los términos establecidos en los Estatutos de Autonomía de las comunidades autónomas y las leyes en materia de cesión de tributos que, en su caso, se aprueben.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2. Los sujetos pasivos que ostenten la condición de sustitutos del contribuyente o, en su caso, de contribuyentes estarán obligados a presentar trimestralmente por vía telemática una autoliquidación comprensiva de las cuotas devengadas en cada trimestre natural, así como a efectuar, simultáneamente, el pago de la deuda tributaria, durante los treinta primeros días naturales del mes posterior a cada trimestre natural.</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3. La persona titular del Ministerio de Hacienda establecerá los modelos, requisitos y condiciones para la presentación de las autoliquidaciones a que se refiere el apartado anterior, sin perjuicio de lo previsto en el apartado 3. </w:t>
      </w:r>
      <w:proofErr w:type="spellStart"/>
      <w:r w:rsidRPr="00CB3BCB">
        <w:rPr>
          <w:color w:val="000000"/>
          <w:sz w:val="20"/>
          <w:szCs w:val="20"/>
        </w:rPr>
        <w:t>Primero.d</w:t>
      </w:r>
      <w:proofErr w:type="spellEnd"/>
      <w:r w:rsidRPr="00CB3BCB">
        <w:rPr>
          <w:color w:val="000000"/>
          <w:sz w:val="20"/>
          <w:szCs w:val="20"/>
        </w:rPr>
        <w:t>) de la disposición transitoria octava</w:t>
      </w:r>
      <w:r w:rsidR="003E6EC3">
        <w:rPr>
          <w:color w:val="000000"/>
          <w:sz w:val="20"/>
          <w:szCs w:val="20"/>
          <w:vertAlign w:val="superscript"/>
        </w:rPr>
        <w:t>(</w:t>
      </w:r>
      <w:r w:rsidR="003E6EC3">
        <w:rPr>
          <w:rStyle w:val="Refdenotaalpie"/>
          <w:color w:val="000000"/>
          <w:sz w:val="20"/>
          <w:szCs w:val="20"/>
        </w:rPr>
        <w:footnoteReference w:id="2"/>
      </w:r>
      <w:r w:rsidR="003E6EC3">
        <w:rPr>
          <w:color w:val="000000"/>
          <w:sz w:val="20"/>
          <w:szCs w:val="20"/>
          <w:vertAlign w:val="superscript"/>
        </w:rPr>
        <w:t>)</w:t>
      </w:r>
      <w:r w:rsidRPr="00CB3BCB">
        <w:rPr>
          <w:color w:val="000000"/>
          <w:sz w:val="20"/>
          <w:szCs w:val="20"/>
        </w:rPr>
        <w:t>.</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4. En los términos que, en su caso, reglamentariamente se establezca, los obligados a presentar las correspondientes autoliquidaciones conforme lo establecido en el apartado 2 de este artículo estarán obligados a inscribirse, con anterioridad al inicio de su actividad, en el Registro territorial del Impuesto sobre el depósito de residuos en vertederos, la incineración y la </w:t>
      </w:r>
      <w:proofErr w:type="spellStart"/>
      <w:r w:rsidRPr="00CB3BCB">
        <w:rPr>
          <w:color w:val="000000"/>
          <w:sz w:val="20"/>
          <w:szCs w:val="20"/>
        </w:rPr>
        <w:t>coincineración</w:t>
      </w:r>
      <w:proofErr w:type="spellEnd"/>
      <w:r w:rsidRPr="00CB3BCB">
        <w:rPr>
          <w:color w:val="000000"/>
          <w:sz w:val="20"/>
          <w:szCs w:val="20"/>
        </w:rPr>
        <w:t xml:space="preserve"> de residuos.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El Censo de obligados tributarios sometidos a este impuesto, así como el procedimiento para la inscripción de estos en el Registro territorial, se regularán mediante Orden de la persona titular del Ministerio de Hacienda, sin perjuicio de lo previsto en el apartado </w:t>
      </w:r>
      <w:proofErr w:type="gramStart"/>
      <w:r w:rsidRPr="00CB3BCB">
        <w:rPr>
          <w:color w:val="000000"/>
          <w:sz w:val="20"/>
          <w:szCs w:val="20"/>
        </w:rPr>
        <w:t>3.Primero.e</w:t>
      </w:r>
      <w:proofErr w:type="gramEnd"/>
      <w:r w:rsidRPr="00CB3BCB">
        <w:rPr>
          <w:color w:val="000000"/>
          <w:sz w:val="20"/>
          <w:szCs w:val="20"/>
        </w:rPr>
        <w:t>) de la disposición transitoria octava.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Los obligados tributarios que, de acuerdo con este apartado, deban inscribirse en el Registro territorial del Impuesto sobre el depósito de residuos en vertederos, la incineración y la </w:t>
      </w:r>
      <w:proofErr w:type="spellStart"/>
      <w:r w:rsidRPr="00CB3BCB">
        <w:rPr>
          <w:color w:val="000000"/>
          <w:sz w:val="20"/>
          <w:szCs w:val="20"/>
        </w:rPr>
        <w:t>coincineración</w:t>
      </w:r>
      <w:proofErr w:type="spellEnd"/>
      <w:r w:rsidRPr="00CB3BCB">
        <w:rPr>
          <w:color w:val="000000"/>
          <w:sz w:val="20"/>
          <w:szCs w:val="20"/>
        </w:rPr>
        <w:t xml:space="preserve"> de residuos, deberán solicitar su inscripción durante los treinta días naturales siguientes a la entrada en vigor de la Orden reguladora del citado registro.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5. Los sujetos pasivos que sean gestores de los vertederos o de las instalaciones de incineración o </w:t>
      </w:r>
      <w:proofErr w:type="spellStart"/>
      <w:r w:rsidRPr="00CB3BCB">
        <w:rPr>
          <w:color w:val="000000"/>
          <w:sz w:val="20"/>
          <w:szCs w:val="20"/>
        </w:rPr>
        <w:t>coincineración</w:t>
      </w:r>
      <w:proofErr w:type="spellEnd"/>
      <w:r w:rsidRPr="00CB3BCB">
        <w:rPr>
          <w:color w:val="000000"/>
          <w:sz w:val="20"/>
          <w:szCs w:val="20"/>
        </w:rPr>
        <w:t xml:space="preserve"> de residuos deberán llevar, en los términos que se determine reglamentariamente, un registro fechado de los residuos depositados, incinerados y </w:t>
      </w:r>
      <w:proofErr w:type="spellStart"/>
      <w:r w:rsidRPr="00CB3BCB">
        <w:rPr>
          <w:color w:val="000000"/>
          <w:sz w:val="20"/>
          <w:szCs w:val="20"/>
        </w:rPr>
        <w:t>coincinerados</w:t>
      </w:r>
      <w:proofErr w:type="spellEnd"/>
      <w:r w:rsidRPr="00CB3BCB">
        <w:rPr>
          <w:color w:val="000000"/>
          <w:sz w:val="20"/>
          <w:szCs w:val="20"/>
        </w:rPr>
        <w:t>. Esta obligación se entenderá cumplida con la llevanza del archivo cronológico al que hace referencia el artículo 64 de esta ley.</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6. Para la aplicación de los tipos impositivos establecidos en el artículo 93.1, letras d) y e), los gestores de las instalaciones de incineración de residuos deberán estar en posesión de la correspondiente notificación realizada por la comunidad autónoma en la que se indique el valor de eficiencia energética y su clasificación como operación D10 o R01, de acuerdo con lo establecido en el artículo 40.2 del Reglamento de emisiones industriales y de desarrollo de la Ley 16/2002, de 1 de julio, de prevención y control integrados de la contaminación.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7. Los sustitutos de los contribuyentes quedan obligados, de acuerdo con lo establecido en el artículo 14.1.b) 5.ª del Real Decreto 646/2020, de 7 de julio, y en el artículo 30.2 del Reglamento de emisiones industriales y de desarrollo de la Ley 16/2002, de 1 de julio, de prevención y control integrados de la contaminación, a verificar el peso de los residuos depositados, incinerados o </w:t>
      </w:r>
      <w:proofErr w:type="spellStart"/>
      <w:r w:rsidRPr="00CB3BCB">
        <w:rPr>
          <w:color w:val="000000"/>
          <w:sz w:val="20"/>
          <w:szCs w:val="20"/>
        </w:rPr>
        <w:t>coincinerados</w:t>
      </w:r>
      <w:proofErr w:type="spellEnd"/>
      <w:r w:rsidRPr="00CB3BCB">
        <w:rPr>
          <w:color w:val="000000"/>
          <w:sz w:val="20"/>
          <w:szCs w:val="20"/>
        </w:rPr>
        <w:t xml:space="preserve"> mediante sistemas de pesaje homologados.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A estos efectos, los sustitutos de los contribuyentes deben instalar y mantener mecanismos de pesaje debidamente certificados.</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5" w:name="_Toc130295322"/>
      <w:r w:rsidRPr="0050515C">
        <w:rPr>
          <w:rStyle w:val="ARTICULCar"/>
        </w:rPr>
        <w:lastRenderedPageBreak/>
        <w:t>Artículo 96.</w:t>
      </w:r>
      <w:bookmarkEnd w:id="35"/>
      <w:r w:rsidRPr="00CB3BCB">
        <w:rPr>
          <w:rFonts w:ascii="Times New Roman" w:hAnsi="Times New Roman" w:cs="Times New Roman"/>
          <w:color w:val="000000"/>
          <w:sz w:val="20"/>
          <w:szCs w:val="20"/>
        </w:rPr>
        <w:t xml:space="preserve"> Infracciones y sanciones.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1. Sin perjuicio de la disposición especial prevista en este artículo, las infracciones tributarias en este Impuesto se calificarán y sancionarán conforme a lo establecido en la Ley 58/2003, de 17 de diciembre, General Tributaria y demás normas de desarrollo.</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2. Constituye infracción tributaria la falta de inscripción en el Registro territorial del Impuesto sobre el depósito de residuos en vertederos, la incineración y la </w:t>
      </w:r>
      <w:proofErr w:type="spellStart"/>
      <w:r w:rsidRPr="00CB3BCB">
        <w:rPr>
          <w:color w:val="000000"/>
          <w:sz w:val="20"/>
          <w:szCs w:val="20"/>
        </w:rPr>
        <w:t>coincineración</w:t>
      </w:r>
      <w:proofErr w:type="spellEnd"/>
      <w:r w:rsidRPr="00CB3BCB">
        <w:rPr>
          <w:color w:val="000000"/>
          <w:sz w:val="20"/>
          <w:szCs w:val="20"/>
        </w:rPr>
        <w:t xml:space="preserve"> de residuos.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Dicha infracción tributaria será grave y la sanción consistirá en multa pecuniaria fija de 1.000 euros.</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En este supuesto resultará de aplicación lo dispuesto en el artículo 188 de la Ley 58/2003, de 17 de diciembre, General Tributaria.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6" w:name="_Toc130295323"/>
      <w:r w:rsidRPr="0050515C">
        <w:rPr>
          <w:rStyle w:val="ARTICULCar"/>
        </w:rPr>
        <w:t>Artículo 97.</w:t>
      </w:r>
      <w:bookmarkEnd w:id="36"/>
      <w:r w:rsidRPr="00CB3BCB">
        <w:rPr>
          <w:rFonts w:ascii="Times New Roman" w:hAnsi="Times New Roman" w:cs="Times New Roman"/>
          <w:color w:val="000000"/>
          <w:sz w:val="20"/>
          <w:szCs w:val="20"/>
        </w:rPr>
        <w:t xml:space="preserve"> Distribución de la recaudación.</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La recaudación del impuesto se asignará a las comunidades autónomas en función del lugar donde se realicen los hechos imponibles gravados por el mismo.</w:t>
      </w:r>
    </w:p>
    <w:p w:rsidR="00CB3BCB" w:rsidRPr="009F03C2" w:rsidRDefault="00CB3BCB" w:rsidP="009F03C2">
      <w:pPr>
        <w:pStyle w:val="TEXTOBSICO"/>
        <w:spacing w:before="0" w:after="240" w:line="276" w:lineRule="auto"/>
        <w:ind w:left="284"/>
      </w:pPr>
      <w:bookmarkStart w:id="37" w:name="_GoBack"/>
      <w:r w:rsidRPr="009F03C2">
        <w:t>(…)</w:t>
      </w:r>
    </w:p>
    <w:p w:rsidR="00CB3BCB" w:rsidRPr="00CB3BCB" w:rsidRDefault="00CB3BCB" w:rsidP="009F03C2">
      <w:pPr>
        <w:pStyle w:val="Ttulo5"/>
        <w:spacing w:before="0" w:after="180" w:line="276" w:lineRule="auto"/>
        <w:rPr>
          <w:rFonts w:ascii="Times New Roman" w:hAnsi="Times New Roman" w:cs="Times New Roman"/>
          <w:i/>
          <w:color w:val="000000"/>
          <w:sz w:val="20"/>
          <w:szCs w:val="20"/>
        </w:rPr>
      </w:pPr>
      <w:bookmarkStart w:id="38" w:name="_Toc130295324"/>
      <w:bookmarkEnd w:id="37"/>
      <w:r w:rsidRPr="0050515C">
        <w:rPr>
          <w:rStyle w:val="ARTICULCar"/>
        </w:rPr>
        <w:t>Disposición final quinta.</w:t>
      </w:r>
      <w:bookmarkEnd w:id="38"/>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Habilitaciones a la Ley de Presupuestos Generales del Estado.</w:t>
      </w:r>
    </w:p>
    <w:p w:rsidR="00CB3BCB" w:rsidRPr="00CB3BCB" w:rsidRDefault="00CB3BCB" w:rsidP="009F03C2">
      <w:pPr>
        <w:pStyle w:val="parrafo"/>
        <w:spacing w:before="0" w:beforeAutospacing="0" w:after="180" w:afterAutospacing="0" w:line="276" w:lineRule="auto"/>
        <w:ind w:firstLine="360"/>
        <w:jc w:val="both"/>
        <w:rPr>
          <w:color w:val="000000"/>
          <w:sz w:val="20"/>
          <w:szCs w:val="20"/>
        </w:rPr>
      </w:pPr>
      <w:r w:rsidRPr="00CB3BCB">
        <w:rPr>
          <w:color w:val="000000"/>
          <w:sz w:val="20"/>
          <w:szCs w:val="20"/>
        </w:rPr>
        <w:t>La Ley de Presupuestos Generales del Estado podrá modificar, de conformidad con lo previsto en el artículo 134.7 de la Constitución Española:</w:t>
      </w:r>
    </w:p>
    <w:p w:rsidR="00CB3BCB" w:rsidRPr="00CB3BCB" w:rsidRDefault="00CB3BCB" w:rsidP="009F03C2">
      <w:pPr>
        <w:pStyle w:val="parrafo2"/>
        <w:spacing w:before="0" w:beforeAutospacing="0" w:after="180" w:afterAutospacing="0" w:line="276" w:lineRule="auto"/>
        <w:ind w:firstLine="360"/>
        <w:jc w:val="both"/>
        <w:rPr>
          <w:color w:val="000000"/>
          <w:sz w:val="20"/>
          <w:szCs w:val="20"/>
        </w:rPr>
      </w:pPr>
      <w:r w:rsidRPr="00CB3BCB">
        <w:rPr>
          <w:color w:val="000000"/>
          <w:sz w:val="20"/>
          <w:szCs w:val="20"/>
        </w:rPr>
        <w:t>a) Los tipos impositivos, las exenciones, las deducciones y devoluciones que se establecen en el capítulo I del título VII.</w:t>
      </w:r>
    </w:p>
    <w:p w:rsidR="00CB3BCB" w:rsidRPr="00CB3BCB" w:rsidRDefault="00CB3BCB" w:rsidP="009F03C2">
      <w:pPr>
        <w:pStyle w:val="parrafo"/>
        <w:spacing w:before="0" w:beforeAutospacing="0" w:after="180" w:afterAutospacing="0" w:line="276" w:lineRule="auto"/>
        <w:ind w:firstLine="360"/>
        <w:jc w:val="both"/>
        <w:rPr>
          <w:color w:val="000000"/>
          <w:sz w:val="20"/>
          <w:szCs w:val="20"/>
        </w:rPr>
      </w:pPr>
      <w:r w:rsidRPr="00CB3BCB">
        <w:rPr>
          <w:color w:val="000000"/>
          <w:sz w:val="20"/>
          <w:szCs w:val="20"/>
        </w:rPr>
        <w:t>b) La forma de determinación de los tipos impositivos, su cuantía, las exenciones y, en general, mantener el texto del capítulo II del título VII ajustado a la normativa de la Unión Europea.</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39" w:name="_Toc130295325"/>
      <w:r w:rsidRPr="0050515C">
        <w:rPr>
          <w:rStyle w:val="ARTICULCar"/>
        </w:rPr>
        <w:t>Disposición final décima.</w:t>
      </w:r>
      <w:bookmarkEnd w:id="39"/>
      <w:r w:rsidRPr="00CB3BCB">
        <w:rPr>
          <w:rFonts w:ascii="Times New Roman" w:hAnsi="Times New Roman" w:cs="Times New Roman"/>
          <w:color w:val="000000"/>
          <w:sz w:val="20"/>
          <w:szCs w:val="20"/>
        </w:rPr>
        <w:t xml:space="preserve"> </w:t>
      </w:r>
      <w:r w:rsidRPr="0050515C">
        <w:rPr>
          <w:rFonts w:ascii="Times New Roman" w:hAnsi="Times New Roman" w:cs="Times New Roman"/>
          <w:i/>
          <w:color w:val="000000"/>
          <w:sz w:val="20"/>
          <w:szCs w:val="20"/>
        </w:rPr>
        <w:t>Adaptación del Concierto Económico con la Comunidad Autónoma del País Vasco y del Convenio Económico entre el Estado y la Comunidad Foral de Navarra.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En el primer semestre desde su publicación en el «Boletín Oficial del Estado» se reunirá la Comisión Mixta del Concierto Económico con el País Vasco y la Comisión del Convenio Económico con Navarra para acordar la correspondiente adaptación del Concierto Económico con la Comunidad Autónoma del País Vasco, y del Convenio Económico entre el Estado y la Comunidad Foral de Navarra, a los impuestos creados por esta ley.</w:t>
      </w:r>
    </w:p>
    <w:p w:rsidR="00CB3BCB" w:rsidRPr="00CB3BCB" w:rsidRDefault="00CB3BCB" w:rsidP="009F03C2">
      <w:pPr>
        <w:pStyle w:val="TEXTOBSICO"/>
        <w:spacing w:before="0" w:after="240" w:line="276" w:lineRule="auto"/>
        <w:ind w:left="284"/>
      </w:pPr>
      <w:r w:rsidRPr="00CB3BCB">
        <w:t>(…)</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40" w:name="_Toc130295326"/>
      <w:r w:rsidRPr="0050515C">
        <w:rPr>
          <w:rStyle w:val="ARTICULCar"/>
        </w:rPr>
        <w:t>Disposición final duodécima</w:t>
      </w:r>
      <w:bookmarkEnd w:id="40"/>
      <w:r w:rsidRPr="00CB3BCB">
        <w:rPr>
          <w:rFonts w:ascii="Times New Roman" w:hAnsi="Times New Roman" w:cs="Times New Roman"/>
          <w:b/>
          <w:color w:val="000000"/>
          <w:sz w:val="20"/>
          <w:szCs w:val="20"/>
        </w:rPr>
        <w:t>.</w:t>
      </w:r>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Incorporación de Derecho de la Unión Europea.</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Mediante esta ley, se incorpora al Derecho español la Directiva (UE) 2018/851, del Parlamento Europeo y del Consejo, de 30 de mayo de 2018, por la que se modifica la Directiva 2008/98/CE sobre los residuos. Asimismo, también se incorpora al ordenamiento jurídico español la Directiva (UE) 2019/904 del Parlamento Europeo y del Consejo, de 5 de junio de 2019, relativa a la reducción del impacto de determinados productos de plástico en el medio ambiente.</w:t>
      </w:r>
    </w:p>
    <w:p w:rsidR="00CB3BCB" w:rsidRPr="00CB3BCB" w:rsidRDefault="00CB3BCB" w:rsidP="009F03C2">
      <w:pPr>
        <w:pStyle w:val="Ttulo5"/>
        <w:shd w:val="clear" w:color="auto" w:fill="FFFFFF"/>
        <w:spacing w:before="0" w:after="180" w:line="276" w:lineRule="auto"/>
        <w:rPr>
          <w:rFonts w:ascii="Times New Roman" w:hAnsi="Times New Roman" w:cs="Times New Roman"/>
          <w:color w:val="000000"/>
          <w:sz w:val="20"/>
          <w:szCs w:val="20"/>
        </w:rPr>
      </w:pPr>
      <w:bookmarkStart w:id="41" w:name="_Toc130295327"/>
      <w:r w:rsidRPr="0050515C">
        <w:rPr>
          <w:rStyle w:val="ARTICULCar"/>
        </w:rPr>
        <w:t>Disposición final decimotercera.</w:t>
      </w:r>
      <w:bookmarkEnd w:id="41"/>
      <w:r w:rsidRPr="00CB3BCB">
        <w:rPr>
          <w:rFonts w:ascii="Times New Roman" w:hAnsi="Times New Roman" w:cs="Times New Roman"/>
          <w:color w:val="000000"/>
          <w:sz w:val="20"/>
          <w:szCs w:val="20"/>
        </w:rPr>
        <w:t xml:space="preserve"> </w:t>
      </w:r>
      <w:r w:rsidRPr="00CB3BCB">
        <w:rPr>
          <w:rFonts w:ascii="Times New Roman" w:hAnsi="Times New Roman" w:cs="Times New Roman"/>
          <w:i/>
          <w:color w:val="000000"/>
          <w:sz w:val="20"/>
          <w:szCs w:val="20"/>
        </w:rPr>
        <w:t>Entrada en vigor.</w:t>
      </w:r>
    </w:p>
    <w:p w:rsidR="00CB3BCB" w:rsidRPr="00CB3BCB" w:rsidRDefault="00CB3BCB" w:rsidP="009F03C2">
      <w:pPr>
        <w:pStyle w:val="parrafo"/>
        <w:shd w:val="clear" w:color="auto" w:fill="FFFFFF"/>
        <w:spacing w:before="0" w:beforeAutospacing="0" w:after="180" w:afterAutospacing="0" w:line="276" w:lineRule="auto"/>
        <w:ind w:firstLine="360"/>
        <w:jc w:val="both"/>
        <w:rPr>
          <w:color w:val="000000"/>
          <w:sz w:val="20"/>
          <w:szCs w:val="20"/>
        </w:rPr>
      </w:pPr>
      <w:r w:rsidRPr="00CB3BCB">
        <w:rPr>
          <w:color w:val="000000"/>
          <w:sz w:val="20"/>
          <w:szCs w:val="20"/>
        </w:rPr>
        <w:t xml:space="preserve">La presente ley entrará en vigor el día siguiente al de su publicación en el «Boletín Oficial del Estado». No </w:t>
      </w:r>
      <w:proofErr w:type="gramStart"/>
      <w:r w:rsidRPr="00CB3BCB">
        <w:rPr>
          <w:color w:val="000000"/>
          <w:sz w:val="20"/>
          <w:szCs w:val="20"/>
        </w:rPr>
        <w:t>obstante</w:t>
      </w:r>
      <w:proofErr w:type="gramEnd"/>
      <w:r w:rsidRPr="00CB3BCB">
        <w:rPr>
          <w:color w:val="000000"/>
          <w:sz w:val="20"/>
          <w:szCs w:val="20"/>
        </w:rPr>
        <w:t xml:space="preserve"> lo anterior, la entrada en vigor del Título VII de esta ley se producirá el 1 de enero de 2023.</w:t>
      </w:r>
    </w:p>
    <w:p w:rsidR="00202AA7" w:rsidRDefault="00202AA7" w:rsidP="00AF04BC">
      <w:pPr>
        <w:spacing w:line="276" w:lineRule="auto"/>
      </w:pPr>
    </w:p>
    <w:sectPr w:rsidR="00202AA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BC" w:rsidRDefault="00AF04BC" w:rsidP="00AF04BC">
      <w:pPr>
        <w:spacing w:after="0" w:line="240" w:lineRule="auto"/>
      </w:pPr>
      <w:r>
        <w:separator/>
      </w:r>
    </w:p>
  </w:endnote>
  <w:endnote w:type="continuationSeparator" w:id="0">
    <w:p w:rsidR="00AF04BC" w:rsidRDefault="00AF04BC" w:rsidP="00AF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958654"/>
      <w:docPartObj>
        <w:docPartGallery w:val="Page Numbers (Bottom of Page)"/>
        <w:docPartUnique/>
      </w:docPartObj>
    </w:sdtPr>
    <w:sdtContent>
      <w:p w:rsidR="00AF04BC" w:rsidRDefault="00AF04BC">
        <w:pPr>
          <w:pStyle w:val="Piedepgina"/>
          <w:jc w:val="right"/>
        </w:pPr>
        <w:r>
          <w:fldChar w:fldCharType="begin"/>
        </w:r>
        <w:r>
          <w:instrText>PAGE   \* MERGEFORMAT</w:instrText>
        </w:r>
        <w:r>
          <w:fldChar w:fldCharType="separate"/>
        </w:r>
        <w:r w:rsidR="009F03C2">
          <w:rPr>
            <w:noProof/>
          </w:rPr>
          <w:t>2</w:t>
        </w:r>
        <w:r>
          <w:fldChar w:fldCharType="end"/>
        </w:r>
      </w:p>
    </w:sdtContent>
  </w:sdt>
  <w:p w:rsidR="00AF04BC" w:rsidRDefault="00AF04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BC" w:rsidRDefault="00AF04BC" w:rsidP="00AF04BC">
      <w:pPr>
        <w:spacing w:after="0" w:line="240" w:lineRule="auto"/>
      </w:pPr>
      <w:r>
        <w:separator/>
      </w:r>
    </w:p>
  </w:footnote>
  <w:footnote w:type="continuationSeparator" w:id="0">
    <w:p w:rsidR="00AF04BC" w:rsidRDefault="00AF04BC" w:rsidP="00AF04BC">
      <w:pPr>
        <w:spacing w:after="0" w:line="240" w:lineRule="auto"/>
      </w:pPr>
      <w:r>
        <w:continuationSeparator/>
      </w:r>
    </w:p>
  </w:footnote>
  <w:footnote w:id="1">
    <w:p w:rsidR="00C40CDE" w:rsidRPr="00C40CDE" w:rsidRDefault="00C40CDE" w:rsidP="00C40CDE">
      <w:pPr>
        <w:pStyle w:val="Textonotapie"/>
        <w:jc w:val="both"/>
      </w:pPr>
      <w:r>
        <w:rPr>
          <w:vertAlign w:val="superscript"/>
        </w:rPr>
        <w:t>(</w:t>
      </w:r>
      <w:r>
        <w:rPr>
          <w:rStyle w:val="Refdenotaalpie"/>
        </w:rPr>
        <w:footnoteRef/>
      </w:r>
      <w:r>
        <w:rPr>
          <w:vertAlign w:val="superscript"/>
        </w:rPr>
        <w:t>)</w:t>
      </w:r>
      <w:r>
        <w:t xml:space="preserve"> </w:t>
      </w:r>
      <w:r w:rsidRPr="00C40CDE">
        <w:rPr>
          <w:rFonts w:ascii="Times New Roman" w:hAnsi="Times New Roman" w:cs="Times New Roman"/>
          <w:color w:val="FF0000"/>
          <w:sz w:val="18"/>
          <w:szCs w:val="18"/>
        </w:rPr>
        <w:t>Véase la Orden HFP/1314/2022, de 28 de diciembre, por la que se aprueban el modelo 592 "Impuesto especial sobre los envases de plástico no reutilizables. Autoliquidación" y el modelo A22 "Impuesto especial sobre los envases de plástico no reutilizables. Solicitud de devolución", se determinan la forma y procedimiento para su presentación, y se regulan la inscripción en el Registro territorial, la llevanza de la contabilidad y la presentación del libro registro de existencia (</w:t>
      </w:r>
      <w:r w:rsidRPr="00C40CDE">
        <w:rPr>
          <w:rFonts w:ascii="Times New Roman" w:hAnsi="Times New Roman" w:cs="Times New Roman"/>
          <w:i/>
          <w:color w:val="FF0000"/>
          <w:sz w:val="18"/>
          <w:szCs w:val="18"/>
        </w:rPr>
        <w:t>BOE</w:t>
      </w:r>
      <w:r w:rsidRPr="00C40CDE">
        <w:rPr>
          <w:color w:val="FF0000"/>
        </w:rPr>
        <w:t xml:space="preserve"> </w:t>
      </w:r>
      <w:r w:rsidRPr="00C40CDE">
        <w:rPr>
          <w:rFonts w:ascii="Times New Roman" w:hAnsi="Times New Roman" w:cs="Times New Roman"/>
          <w:color w:val="FF0000"/>
          <w:sz w:val="18"/>
          <w:szCs w:val="18"/>
        </w:rPr>
        <w:t>del 30)</w:t>
      </w:r>
    </w:p>
  </w:footnote>
  <w:footnote w:id="2">
    <w:p w:rsidR="003E6EC3" w:rsidRPr="00C40CDE" w:rsidRDefault="003E6EC3" w:rsidP="003E6EC3">
      <w:pPr>
        <w:pStyle w:val="Textonotapie"/>
        <w:jc w:val="both"/>
      </w:pPr>
      <w:r>
        <w:rPr>
          <w:vertAlign w:val="superscript"/>
        </w:rPr>
        <w:t>(</w:t>
      </w:r>
      <w:r>
        <w:rPr>
          <w:rStyle w:val="Refdenotaalpie"/>
        </w:rPr>
        <w:footnoteRef/>
      </w:r>
      <w:r>
        <w:rPr>
          <w:vertAlign w:val="superscript"/>
        </w:rPr>
        <w:t>)</w:t>
      </w:r>
      <w:r>
        <w:t xml:space="preserve"> </w:t>
      </w:r>
      <w:r w:rsidRPr="00C40CDE">
        <w:rPr>
          <w:rFonts w:ascii="Times New Roman" w:hAnsi="Times New Roman" w:cs="Times New Roman"/>
          <w:color w:val="FF0000"/>
          <w:sz w:val="18"/>
          <w:szCs w:val="18"/>
        </w:rPr>
        <w:t xml:space="preserve">Véase </w:t>
      </w:r>
      <w:r>
        <w:rPr>
          <w:rFonts w:ascii="Times New Roman" w:hAnsi="Times New Roman" w:cs="Times New Roman"/>
          <w:color w:val="FF0000"/>
          <w:sz w:val="18"/>
          <w:szCs w:val="18"/>
        </w:rPr>
        <w:t xml:space="preserve">la </w:t>
      </w:r>
      <w:r w:rsidRPr="003E6EC3">
        <w:rPr>
          <w:rFonts w:ascii="Times New Roman" w:hAnsi="Times New Roman" w:cs="Times New Roman"/>
          <w:color w:val="FF0000"/>
          <w:sz w:val="18"/>
          <w:szCs w:val="18"/>
        </w:rPr>
        <w:t xml:space="preserve">Orden HFP/1337/2022, de 28 de diciembre, por la que se aprueba el modelo 593 "Impuesto sobre el depósito de residuos en vertederos, la incineración y la </w:t>
      </w:r>
      <w:proofErr w:type="spellStart"/>
      <w:r w:rsidRPr="003E6EC3">
        <w:rPr>
          <w:rFonts w:ascii="Times New Roman" w:hAnsi="Times New Roman" w:cs="Times New Roman"/>
          <w:color w:val="FF0000"/>
          <w:sz w:val="18"/>
          <w:szCs w:val="18"/>
        </w:rPr>
        <w:t>coincineración</w:t>
      </w:r>
      <w:proofErr w:type="spellEnd"/>
      <w:r w:rsidRPr="003E6EC3">
        <w:rPr>
          <w:rFonts w:ascii="Times New Roman" w:hAnsi="Times New Roman" w:cs="Times New Roman"/>
          <w:color w:val="FF0000"/>
          <w:sz w:val="18"/>
          <w:szCs w:val="18"/>
        </w:rPr>
        <w:t xml:space="preserve"> de residuos. Autoliquidación", se establece la forma y procedimiento para su presentación, se regula la inscripción en el Registro territorial de los obligados tributarios por el Impuesto sobre el depósito de residuos en vertederos, la incineración y la </w:t>
      </w:r>
      <w:proofErr w:type="spellStart"/>
      <w:r w:rsidRPr="003E6EC3">
        <w:rPr>
          <w:rFonts w:ascii="Times New Roman" w:hAnsi="Times New Roman" w:cs="Times New Roman"/>
          <w:color w:val="FF0000"/>
          <w:sz w:val="18"/>
          <w:szCs w:val="18"/>
        </w:rPr>
        <w:t>coincineración</w:t>
      </w:r>
      <w:proofErr w:type="spellEnd"/>
      <w:r w:rsidRPr="003E6EC3">
        <w:rPr>
          <w:rFonts w:ascii="Times New Roman" w:hAnsi="Times New Roman" w:cs="Times New Roman"/>
          <w:color w:val="FF0000"/>
          <w:sz w:val="18"/>
          <w:szCs w:val="18"/>
        </w:rPr>
        <w:t xml:space="preserve"> de residuos y se aprueba el modelo de tarjeta de inscripción </w:t>
      </w:r>
      <w:r w:rsidRPr="00C40CDE">
        <w:rPr>
          <w:rFonts w:ascii="Times New Roman" w:hAnsi="Times New Roman" w:cs="Times New Roman"/>
          <w:color w:val="FF0000"/>
          <w:sz w:val="18"/>
          <w:szCs w:val="18"/>
        </w:rPr>
        <w:t>(</w:t>
      </w:r>
      <w:r w:rsidRPr="00C40CDE">
        <w:rPr>
          <w:rFonts w:ascii="Times New Roman" w:hAnsi="Times New Roman" w:cs="Times New Roman"/>
          <w:i/>
          <w:color w:val="FF0000"/>
          <w:sz w:val="18"/>
          <w:szCs w:val="18"/>
        </w:rPr>
        <w:t>BOE</w:t>
      </w:r>
      <w:r w:rsidRPr="00C40CDE">
        <w:rPr>
          <w:color w:val="FF0000"/>
        </w:rPr>
        <w:t xml:space="preserve"> </w:t>
      </w:r>
      <w:r w:rsidRPr="00C40CDE">
        <w:rPr>
          <w:rFonts w:ascii="Times New Roman" w:hAnsi="Times New Roman" w:cs="Times New Roman"/>
          <w:color w:val="FF0000"/>
          <w:sz w:val="18"/>
          <w:szCs w:val="18"/>
        </w:rPr>
        <w:t>del 30)</w:t>
      </w:r>
      <w:r>
        <w:rPr>
          <w:rFonts w:ascii="Times New Roman" w:hAnsi="Times New Roman" w:cs="Times New Roman"/>
          <w:color w:val="FF000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16"/>
    <w:rsid w:val="00202AA7"/>
    <w:rsid w:val="00237A16"/>
    <w:rsid w:val="003E6EC3"/>
    <w:rsid w:val="0050515C"/>
    <w:rsid w:val="009F03C2"/>
    <w:rsid w:val="00AF04BC"/>
    <w:rsid w:val="00C40CDE"/>
    <w:rsid w:val="00CB3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1822"/>
  <w15:chartTrackingRefBased/>
  <w15:docId w15:val="{B1E5588D-0C6D-45F8-AF7B-6BF42786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5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051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051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CB3BC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CB3B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BSICO">
    <w:name w:val="TEXTO BÁSICO"/>
    <w:basedOn w:val="Normal"/>
    <w:link w:val="TEXTOBSICOCar"/>
    <w:rsid w:val="00CB3BCB"/>
    <w:pPr>
      <w:spacing w:before="80" w:after="0" w:line="240" w:lineRule="auto"/>
      <w:ind w:firstLine="284"/>
      <w:jc w:val="both"/>
    </w:pPr>
    <w:rPr>
      <w:rFonts w:ascii="Times New Roman" w:eastAsia="Times New Roman" w:hAnsi="Times New Roman" w:cs="Times New Roman"/>
      <w:sz w:val="20"/>
      <w:szCs w:val="20"/>
      <w:lang w:eastAsia="es-ES"/>
    </w:rPr>
  </w:style>
  <w:style w:type="character" w:customStyle="1" w:styleId="TEXTOBSICOCar">
    <w:name w:val="TEXTO BÁSICO Car"/>
    <w:link w:val="TEXTOBSICO"/>
    <w:rsid w:val="00CB3BCB"/>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CB3BCB"/>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CB3BCB"/>
    <w:rPr>
      <w:rFonts w:asciiTheme="majorHAnsi" w:eastAsiaTheme="majorEastAsia" w:hAnsiTheme="majorHAnsi" w:cstheme="majorBidi"/>
      <w:color w:val="2E74B5" w:themeColor="accent1" w:themeShade="BF"/>
    </w:rPr>
  </w:style>
  <w:style w:type="paragraph" w:customStyle="1" w:styleId="parrafo">
    <w:name w:val="parrafo"/>
    <w:basedOn w:val="Normal"/>
    <w:rsid w:val="00CB3B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CB3B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
    <w:name w:val="ARTICUL"/>
    <w:basedOn w:val="Ttulo5"/>
    <w:link w:val="ARTICULCar"/>
    <w:qFormat/>
    <w:rsid w:val="00CB3BCB"/>
    <w:pPr>
      <w:shd w:val="clear" w:color="auto" w:fill="FFFFFF"/>
      <w:spacing w:before="360" w:after="180"/>
    </w:pPr>
    <w:rPr>
      <w:rFonts w:ascii="Times New Roman" w:hAnsi="Times New Roman" w:cs="Times New Roman"/>
      <w:b/>
      <w:color w:val="000000"/>
      <w:sz w:val="20"/>
      <w:szCs w:val="20"/>
    </w:rPr>
  </w:style>
  <w:style w:type="paragraph" w:customStyle="1" w:styleId="CAPTULO">
    <w:name w:val="CAPÍTULO"/>
    <w:basedOn w:val="Ttulo4"/>
    <w:qFormat/>
    <w:rsid w:val="0050515C"/>
    <w:pPr>
      <w:shd w:val="clear" w:color="auto" w:fill="FFFFFF"/>
      <w:spacing w:before="480" w:beforeAutospacing="0" w:after="0" w:afterAutospacing="0"/>
      <w:ind w:left="960" w:right="960"/>
      <w:jc w:val="center"/>
    </w:pPr>
    <w:rPr>
      <w:bCs w:val="0"/>
      <w:color w:val="000000"/>
      <w:sz w:val="20"/>
      <w:szCs w:val="20"/>
    </w:rPr>
  </w:style>
  <w:style w:type="character" w:customStyle="1" w:styleId="ARTICULCar">
    <w:name w:val="ARTICUL Car"/>
    <w:basedOn w:val="Ttulo5Car"/>
    <w:link w:val="ARTICUL"/>
    <w:rsid w:val="00CB3BCB"/>
    <w:rPr>
      <w:rFonts w:ascii="Times New Roman" w:eastAsiaTheme="majorEastAsia" w:hAnsi="Times New Roman" w:cs="Times New Roman"/>
      <w:b/>
      <w:color w:val="000000"/>
      <w:sz w:val="20"/>
      <w:szCs w:val="20"/>
      <w:shd w:val="clear" w:color="auto" w:fill="FFFFFF"/>
    </w:rPr>
  </w:style>
  <w:style w:type="paragraph" w:customStyle="1" w:styleId="TTULO">
    <w:name w:val="TÍTULO"/>
    <w:basedOn w:val="Normal"/>
    <w:link w:val="TTULOCar"/>
    <w:qFormat/>
    <w:rsid w:val="0050515C"/>
    <w:pPr>
      <w:spacing w:before="600" w:after="0" w:line="240" w:lineRule="auto"/>
      <w:ind w:left="960" w:right="960"/>
      <w:jc w:val="center"/>
      <w:outlineLvl w:val="3"/>
    </w:pPr>
    <w:rPr>
      <w:rFonts w:ascii="Times New Roman" w:eastAsia="Times New Roman" w:hAnsi="Times New Roman" w:cs="Times New Roman"/>
      <w:b/>
      <w:color w:val="000000"/>
      <w:sz w:val="20"/>
      <w:szCs w:val="20"/>
      <w:lang w:eastAsia="es-ES"/>
    </w:rPr>
  </w:style>
  <w:style w:type="character" w:customStyle="1" w:styleId="Ttulo3Car">
    <w:name w:val="Título 3 Car"/>
    <w:basedOn w:val="Fuentedeprrafopredeter"/>
    <w:link w:val="Ttulo3"/>
    <w:uiPriority w:val="9"/>
    <w:semiHidden/>
    <w:rsid w:val="0050515C"/>
    <w:rPr>
      <w:rFonts w:asciiTheme="majorHAnsi" w:eastAsiaTheme="majorEastAsia" w:hAnsiTheme="majorHAnsi" w:cstheme="majorBidi"/>
      <w:color w:val="1F4D78" w:themeColor="accent1" w:themeShade="7F"/>
      <w:sz w:val="24"/>
      <w:szCs w:val="24"/>
    </w:rPr>
  </w:style>
  <w:style w:type="character" w:customStyle="1" w:styleId="TTULOCar">
    <w:name w:val="TÍTULO Car"/>
    <w:basedOn w:val="Fuentedeprrafopredeter"/>
    <w:link w:val="TTULO"/>
    <w:rsid w:val="0050515C"/>
    <w:rPr>
      <w:rFonts w:ascii="Times New Roman" w:eastAsia="Times New Roman" w:hAnsi="Times New Roman" w:cs="Times New Roman"/>
      <w:b/>
      <w:color w:val="000000"/>
      <w:sz w:val="20"/>
      <w:szCs w:val="20"/>
      <w:lang w:eastAsia="es-ES"/>
    </w:rPr>
  </w:style>
  <w:style w:type="character" w:customStyle="1" w:styleId="Ttulo2Car">
    <w:name w:val="Título 2 Car"/>
    <w:basedOn w:val="Fuentedeprrafopredeter"/>
    <w:link w:val="Ttulo2"/>
    <w:uiPriority w:val="9"/>
    <w:semiHidden/>
    <w:rsid w:val="0050515C"/>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50515C"/>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50515C"/>
    <w:pPr>
      <w:spacing w:after="100"/>
    </w:pPr>
  </w:style>
  <w:style w:type="paragraph" w:styleId="TDC2">
    <w:name w:val="toc 2"/>
    <w:basedOn w:val="Normal"/>
    <w:next w:val="Normal"/>
    <w:autoRedefine/>
    <w:uiPriority w:val="39"/>
    <w:unhideWhenUsed/>
    <w:rsid w:val="0050515C"/>
    <w:pPr>
      <w:spacing w:after="100"/>
      <w:ind w:left="220"/>
    </w:pPr>
  </w:style>
  <w:style w:type="paragraph" w:styleId="TDC3">
    <w:name w:val="toc 3"/>
    <w:basedOn w:val="Normal"/>
    <w:next w:val="Normal"/>
    <w:autoRedefine/>
    <w:uiPriority w:val="39"/>
    <w:unhideWhenUsed/>
    <w:rsid w:val="0050515C"/>
    <w:pPr>
      <w:spacing w:after="100"/>
      <w:ind w:left="440"/>
    </w:pPr>
  </w:style>
  <w:style w:type="character" w:styleId="Hipervnculo">
    <w:name w:val="Hyperlink"/>
    <w:basedOn w:val="Fuentedeprrafopredeter"/>
    <w:uiPriority w:val="99"/>
    <w:unhideWhenUsed/>
    <w:rsid w:val="0050515C"/>
    <w:rPr>
      <w:color w:val="0563C1" w:themeColor="hyperlink"/>
      <w:u w:val="single"/>
    </w:rPr>
  </w:style>
  <w:style w:type="paragraph" w:styleId="Encabezado">
    <w:name w:val="header"/>
    <w:basedOn w:val="Normal"/>
    <w:link w:val="EncabezadoCar"/>
    <w:uiPriority w:val="99"/>
    <w:unhideWhenUsed/>
    <w:rsid w:val="00AF04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04BC"/>
  </w:style>
  <w:style w:type="paragraph" w:styleId="Piedepgina">
    <w:name w:val="footer"/>
    <w:basedOn w:val="Normal"/>
    <w:link w:val="PiedepginaCar"/>
    <w:uiPriority w:val="99"/>
    <w:unhideWhenUsed/>
    <w:rsid w:val="00AF04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04BC"/>
  </w:style>
  <w:style w:type="paragraph" w:styleId="Textonotapie">
    <w:name w:val="footnote text"/>
    <w:basedOn w:val="Normal"/>
    <w:link w:val="TextonotapieCar"/>
    <w:uiPriority w:val="99"/>
    <w:semiHidden/>
    <w:unhideWhenUsed/>
    <w:rsid w:val="00C40C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0CDE"/>
    <w:rPr>
      <w:sz w:val="20"/>
      <w:szCs w:val="20"/>
    </w:rPr>
  </w:style>
  <w:style w:type="character" w:styleId="Refdenotaalpie">
    <w:name w:val="footnote reference"/>
    <w:basedOn w:val="Fuentedeprrafopredeter"/>
    <w:uiPriority w:val="99"/>
    <w:semiHidden/>
    <w:unhideWhenUsed/>
    <w:rsid w:val="00C40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253">
      <w:bodyDiv w:val="1"/>
      <w:marLeft w:val="0"/>
      <w:marRight w:val="0"/>
      <w:marTop w:val="0"/>
      <w:marBottom w:val="0"/>
      <w:divBdr>
        <w:top w:val="none" w:sz="0" w:space="0" w:color="auto"/>
        <w:left w:val="none" w:sz="0" w:space="0" w:color="auto"/>
        <w:bottom w:val="none" w:sz="0" w:space="0" w:color="auto"/>
        <w:right w:val="none" w:sz="0" w:space="0" w:color="auto"/>
      </w:divBdr>
    </w:div>
    <w:div w:id="382099917">
      <w:bodyDiv w:val="1"/>
      <w:marLeft w:val="0"/>
      <w:marRight w:val="0"/>
      <w:marTop w:val="0"/>
      <w:marBottom w:val="0"/>
      <w:divBdr>
        <w:top w:val="none" w:sz="0" w:space="0" w:color="auto"/>
        <w:left w:val="none" w:sz="0" w:space="0" w:color="auto"/>
        <w:bottom w:val="none" w:sz="0" w:space="0" w:color="auto"/>
        <w:right w:val="none" w:sz="0" w:space="0" w:color="auto"/>
      </w:divBdr>
      <w:divsChild>
        <w:div w:id="770511386">
          <w:marLeft w:val="0"/>
          <w:marRight w:val="0"/>
          <w:marTop w:val="0"/>
          <w:marBottom w:val="0"/>
          <w:divBdr>
            <w:top w:val="none" w:sz="0" w:space="0" w:color="auto"/>
            <w:left w:val="none" w:sz="0" w:space="0" w:color="auto"/>
            <w:bottom w:val="none" w:sz="0" w:space="0" w:color="auto"/>
            <w:right w:val="none" w:sz="0" w:space="0" w:color="auto"/>
          </w:divBdr>
        </w:div>
        <w:div w:id="2022658605">
          <w:marLeft w:val="0"/>
          <w:marRight w:val="0"/>
          <w:marTop w:val="0"/>
          <w:marBottom w:val="0"/>
          <w:divBdr>
            <w:top w:val="none" w:sz="0" w:space="0" w:color="auto"/>
            <w:left w:val="none" w:sz="0" w:space="0" w:color="auto"/>
            <w:bottom w:val="none" w:sz="0" w:space="0" w:color="auto"/>
            <w:right w:val="none" w:sz="0" w:space="0" w:color="auto"/>
          </w:divBdr>
        </w:div>
      </w:divsChild>
    </w:div>
    <w:div w:id="512493681">
      <w:bodyDiv w:val="1"/>
      <w:marLeft w:val="0"/>
      <w:marRight w:val="0"/>
      <w:marTop w:val="0"/>
      <w:marBottom w:val="0"/>
      <w:divBdr>
        <w:top w:val="none" w:sz="0" w:space="0" w:color="auto"/>
        <w:left w:val="none" w:sz="0" w:space="0" w:color="auto"/>
        <w:bottom w:val="none" w:sz="0" w:space="0" w:color="auto"/>
        <w:right w:val="none" w:sz="0" w:space="0" w:color="auto"/>
      </w:divBdr>
    </w:div>
    <w:div w:id="608120241">
      <w:bodyDiv w:val="1"/>
      <w:marLeft w:val="0"/>
      <w:marRight w:val="0"/>
      <w:marTop w:val="0"/>
      <w:marBottom w:val="0"/>
      <w:divBdr>
        <w:top w:val="none" w:sz="0" w:space="0" w:color="auto"/>
        <w:left w:val="none" w:sz="0" w:space="0" w:color="auto"/>
        <w:bottom w:val="none" w:sz="0" w:space="0" w:color="auto"/>
        <w:right w:val="none" w:sz="0" w:space="0" w:color="auto"/>
      </w:divBdr>
    </w:div>
    <w:div w:id="920867438">
      <w:bodyDiv w:val="1"/>
      <w:marLeft w:val="0"/>
      <w:marRight w:val="0"/>
      <w:marTop w:val="0"/>
      <w:marBottom w:val="0"/>
      <w:divBdr>
        <w:top w:val="none" w:sz="0" w:space="0" w:color="auto"/>
        <w:left w:val="none" w:sz="0" w:space="0" w:color="auto"/>
        <w:bottom w:val="none" w:sz="0" w:space="0" w:color="auto"/>
        <w:right w:val="none" w:sz="0" w:space="0" w:color="auto"/>
      </w:divBdr>
    </w:div>
    <w:div w:id="1206870625">
      <w:bodyDiv w:val="1"/>
      <w:marLeft w:val="0"/>
      <w:marRight w:val="0"/>
      <w:marTop w:val="0"/>
      <w:marBottom w:val="0"/>
      <w:divBdr>
        <w:top w:val="none" w:sz="0" w:space="0" w:color="auto"/>
        <w:left w:val="none" w:sz="0" w:space="0" w:color="auto"/>
        <w:bottom w:val="none" w:sz="0" w:space="0" w:color="auto"/>
        <w:right w:val="none" w:sz="0" w:space="0" w:color="auto"/>
      </w:divBdr>
      <w:divsChild>
        <w:div w:id="84234271">
          <w:marLeft w:val="0"/>
          <w:marRight w:val="0"/>
          <w:marTop w:val="0"/>
          <w:marBottom w:val="0"/>
          <w:divBdr>
            <w:top w:val="none" w:sz="0" w:space="0" w:color="auto"/>
            <w:left w:val="none" w:sz="0" w:space="0" w:color="auto"/>
            <w:bottom w:val="none" w:sz="0" w:space="0" w:color="auto"/>
            <w:right w:val="none" w:sz="0" w:space="0" w:color="auto"/>
          </w:divBdr>
        </w:div>
        <w:div w:id="1145777050">
          <w:marLeft w:val="0"/>
          <w:marRight w:val="0"/>
          <w:marTop w:val="0"/>
          <w:marBottom w:val="0"/>
          <w:divBdr>
            <w:top w:val="none" w:sz="0" w:space="0" w:color="auto"/>
            <w:left w:val="none" w:sz="0" w:space="0" w:color="auto"/>
            <w:bottom w:val="none" w:sz="0" w:space="0" w:color="auto"/>
            <w:right w:val="none" w:sz="0" w:space="0" w:color="auto"/>
          </w:divBdr>
        </w:div>
      </w:divsChild>
    </w:div>
    <w:div w:id="1267155794">
      <w:bodyDiv w:val="1"/>
      <w:marLeft w:val="0"/>
      <w:marRight w:val="0"/>
      <w:marTop w:val="0"/>
      <w:marBottom w:val="0"/>
      <w:divBdr>
        <w:top w:val="none" w:sz="0" w:space="0" w:color="auto"/>
        <w:left w:val="none" w:sz="0" w:space="0" w:color="auto"/>
        <w:bottom w:val="none" w:sz="0" w:space="0" w:color="auto"/>
        <w:right w:val="none" w:sz="0" w:space="0" w:color="auto"/>
      </w:divBdr>
    </w:div>
    <w:div w:id="1839733770">
      <w:bodyDiv w:val="1"/>
      <w:marLeft w:val="0"/>
      <w:marRight w:val="0"/>
      <w:marTop w:val="0"/>
      <w:marBottom w:val="0"/>
      <w:divBdr>
        <w:top w:val="none" w:sz="0" w:space="0" w:color="auto"/>
        <w:left w:val="none" w:sz="0" w:space="0" w:color="auto"/>
        <w:bottom w:val="none" w:sz="0" w:space="0" w:color="auto"/>
        <w:right w:val="none" w:sz="0" w:space="0" w:color="auto"/>
      </w:divBdr>
      <w:divsChild>
        <w:div w:id="1024597783">
          <w:marLeft w:val="0"/>
          <w:marRight w:val="0"/>
          <w:marTop w:val="0"/>
          <w:marBottom w:val="0"/>
          <w:divBdr>
            <w:top w:val="none" w:sz="0" w:space="0" w:color="auto"/>
            <w:left w:val="none" w:sz="0" w:space="0" w:color="auto"/>
            <w:bottom w:val="none" w:sz="0" w:space="0" w:color="auto"/>
            <w:right w:val="none" w:sz="0" w:space="0" w:color="auto"/>
          </w:divBdr>
        </w:div>
        <w:div w:id="1060176306">
          <w:marLeft w:val="0"/>
          <w:marRight w:val="0"/>
          <w:marTop w:val="0"/>
          <w:marBottom w:val="0"/>
          <w:divBdr>
            <w:top w:val="none" w:sz="0" w:space="0" w:color="auto"/>
            <w:left w:val="none" w:sz="0" w:space="0" w:color="auto"/>
            <w:bottom w:val="none" w:sz="0" w:space="0" w:color="auto"/>
            <w:right w:val="none" w:sz="0" w:space="0" w:color="auto"/>
          </w:divBdr>
        </w:div>
        <w:div w:id="37896535">
          <w:marLeft w:val="0"/>
          <w:marRight w:val="0"/>
          <w:marTop w:val="0"/>
          <w:marBottom w:val="0"/>
          <w:divBdr>
            <w:top w:val="none" w:sz="0" w:space="0" w:color="auto"/>
            <w:left w:val="none" w:sz="0" w:space="0" w:color="auto"/>
            <w:bottom w:val="none" w:sz="0" w:space="0" w:color="auto"/>
            <w:right w:val="none" w:sz="0" w:space="0" w:color="auto"/>
          </w:divBdr>
        </w:div>
        <w:div w:id="1097366207">
          <w:marLeft w:val="0"/>
          <w:marRight w:val="0"/>
          <w:marTop w:val="0"/>
          <w:marBottom w:val="0"/>
          <w:divBdr>
            <w:top w:val="none" w:sz="0" w:space="0" w:color="auto"/>
            <w:left w:val="none" w:sz="0" w:space="0" w:color="auto"/>
            <w:bottom w:val="none" w:sz="0" w:space="0" w:color="auto"/>
            <w:right w:val="none" w:sz="0" w:space="0" w:color="auto"/>
          </w:divBdr>
        </w:div>
        <w:div w:id="209414711">
          <w:marLeft w:val="0"/>
          <w:marRight w:val="0"/>
          <w:marTop w:val="0"/>
          <w:marBottom w:val="0"/>
          <w:divBdr>
            <w:top w:val="none" w:sz="0" w:space="0" w:color="auto"/>
            <w:left w:val="none" w:sz="0" w:space="0" w:color="auto"/>
            <w:bottom w:val="none" w:sz="0" w:space="0" w:color="auto"/>
            <w:right w:val="none" w:sz="0" w:space="0" w:color="auto"/>
          </w:divBdr>
        </w:div>
        <w:div w:id="1559975533">
          <w:marLeft w:val="0"/>
          <w:marRight w:val="0"/>
          <w:marTop w:val="0"/>
          <w:marBottom w:val="0"/>
          <w:divBdr>
            <w:top w:val="none" w:sz="0" w:space="0" w:color="auto"/>
            <w:left w:val="none" w:sz="0" w:space="0" w:color="auto"/>
            <w:bottom w:val="none" w:sz="0" w:space="0" w:color="auto"/>
            <w:right w:val="none" w:sz="0" w:space="0" w:color="auto"/>
          </w:divBdr>
        </w:div>
        <w:div w:id="916480212">
          <w:marLeft w:val="0"/>
          <w:marRight w:val="0"/>
          <w:marTop w:val="0"/>
          <w:marBottom w:val="0"/>
          <w:divBdr>
            <w:top w:val="none" w:sz="0" w:space="0" w:color="auto"/>
            <w:left w:val="none" w:sz="0" w:space="0" w:color="auto"/>
            <w:bottom w:val="none" w:sz="0" w:space="0" w:color="auto"/>
            <w:right w:val="none" w:sz="0" w:space="0" w:color="auto"/>
          </w:divBdr>
        </w:div>
        <w:div w:id="1043599845">
          <w:marLeft w:val="0"/>
          <w:marRight w:val="0"/>
          <w:marTop w:val="0"/>
          <w:marBottom w:val="0"/>
          <w:divBdr>
            <w:top w:val="none" w:sz="0" w:space="0" w:color="auto"/>
            <w:left w:val="none" w:sz="0" w:space="0" w:color="auto"/>
            <w:bottom w:val="none" w:sz="0" w:space="0" w:color="auto"/>
            <w:right w:val="none" w:sz="0" w:space="0" w:color="auto"/>
          </w:divBdr>
        </w:div>
        <w:div w:id="314114108">
          <w:marLeft w:val="0"/>
          <w:marRight w:val="0"/>
          <w:marTop w:val="0"/>
          <w:marBottom w:val="0"/>
          <w:divBdr>
            <w:top w:val="none" w:sz="0" w:space="0" w:color="auto"/>
            <w:left w:val="none" w:sz="0" w:space="0" w:color="auto"/>
            <w:bottom w:val="none" w:sz="0" w:space="0" w:color="auto"/>
            <w:right w:val="none" w:sz="0" w:space="0" w:color="auto"/>
          </w:divBdr>
        </w:div>
        <w:div w:id="2014339328">
          <w:marLeft w:val="0"/>
          <w:marRight w:val="0"/>
          <w:marTop w:val="0"/>
          <w:marBottom w:val="0"/>
          <w:divBdr>
            <w:top w:val="none" w:sz="0" w:space="0" w:color="auto"/>
            <w:left w:val="none" w:sz="0" w:space="0" w:color="auto"/>
            <w:bottom w:val="none" w:sz="0" w:space="0" w:color="auto"/>
            <w:right w:val="none" w:sz="0" w:space="0" w:color="auto"/>
          </w:divBdr>
        </w:div>
        <w:div w:id="1329869539">
          <w:marLeft w:val="0"/>
          <w:marRight w:val="0"/>
          <w:marTop w:val="0"/>
          <w:marBottom w:val="0"/>
          <w:divBdr>
            <w:top w:val="none" w:sz="0" w:space="0" w:color="auto"/>
            <w:left w:val="none" w:sz="0" w:space="0" w:color="auto"/>
            <w:bottom w:val="none" w:sz="0" w:space="0" w:color="auto"/>
            <w:right w:val="none" w:sz="0" w:space="0" w:color="auto"/>
          </w:divBdr>
        </w:div>
        <w:div w:id="1092317989">
          <w:marLeft w:val="0"/>
          <w:marRight w:val="0"/>
          <w:marTop w:val="0"/>
          <w:marBottom w:val="0"/>
          <w:divBdr>
            <w:top w:val="none" w:sz="0" w:space="0" w:color="auto"/>
            <w:left w:val="none" w:sz="0" w:space="0" w:color="auto"/>
            <w:bottom w:val="none" w:sz="0" w:space="0" w:color="auto"/>
            <w:right w:val="none" w:sz="0" w:space="0" w:color="auto"/>
          </w:divBdr>
        </w:div>
        <w:div w:id="1871261263">
          <w:marLeft w:val="0"/>
          <w:marRight w:val="0"/>
          <w:marTop w:val="0"/>
          <w:marBottom w:val="0"/>
          <w:divBdr>
            <w:top w:val="none" w:sz="0" w:space="0" w:color="auto"/>
            <w:left w:val="none" w:sz="0" w:space="0" w:color="auto"/>
            <w:bottom w:val="none" w:sz="0" w:space="0" w:color="auto"/>
            <w:right w:val="none" w:sz="0" w:space="0" w:color="auto"/>
          </w:divBdr>
        </w:div>
        <w:div w:id="426343208">
          <w:marLeft w:val="0"/>
          <w:marRight w:val="0"/>
          <w:marTop w:val="0"/>
          <w:marBottom w:val="0"/>
          <w:divBdr>
            <w:top w:val="none" w:sz="0" w:space="0" w:color="auto"/>
            <w:left w:val="none" w:sz="0" w:space="0" w:color="auto"/>
            <w:bottom w:val="none" w:sz="0" w:space="0" w:color="auto"/>
            <w:right w:val="none" w:sz="0" w:space="0" w:color="auto"/>
          </w:divBdr>
        </w:div>
        <w:div w:id="1422681587">
          <w:marLeft w:val="0"/>
          <w:marRight w:val="0"/>
          <w:marTop w:val="0"/>
          <w:marBottom w:val="0"/>
          <w:divBdr>
            <w:top w:val="none" w:sz="0" w:space="0" w:color="auto"/>
            <w:left w:val="none" w:sz="0" w:space="0" w:color="auto"/>
            <w:bottom w:val="none" w:sz="0" w:space="0" w:color="auto"/>
            <w:right w:val="none" w:sz="0" w:space="0" w:color="auto"/>
          </w:divBdr>
        </w:div>
        <w:div w:id="944116723">
          <w:marLeft w:val="0"/>
          <w:marRight w:val="0"/>
          <w:marTop w:val="0"/>
          <w:marBottom w:val="0"/>
          <w:divBdr>
            <w:top w:val="none" w:sz="0" w:space="0" w:color="auto"/>
            <w:left w:val="none" w:sz="0" w:space="0" w:color="auto"/>
            <w:bottom w:val="none" w:sz="0" w:space="0" w:color="auto"/>
            <w:right w:val="none" w:sz="0" w:space="0" w:color="auto"/>
          </w:divBdr>
        </w:div>
        <w:div w:id="1557667815">
          <w:marLeft w:val="0"/>
          <w:marRight w:val="0"/>
          <w:marTop w:val="0"/>
          <w:marBottom w:val="0"/>
          <w:divBdr>
            <w:top w:val="none" w:sz="0" w:space="0" w:color="auto"/>
            <w:left w:val="none" w:sz="0" w:space="0" w:color="auto"/>
            <w:bottom w:val="none" w:sz="0" w:space="0" w:color="auto"/>
            <w:right w:val="none" w:sz="0" w:space="0" w:color="auto"/>
          </w:divBdr>
        </w:div>
        <w:div w:id="1890993821">
          <w:marLeft w:val="0"/>
          <w:marRight w:val="0"/>
          <w:marTop w:val="0"/>
          <w:marBottom w:val="0"/>
          <w:divBdr>
            <w:top w:val="none" w:sz="0" w:space="0" w:color="auto"/>
            <w:left w:val="none" w:sz="0" w:space="0" w:color="auto"/>
            <w:bottom w:val="none" w:sz="0" w:space="0" w:color="auto"/>
            <w:right w:val="none" w:sz="0" w:space="0" w:color="auto"/>
          </w:divBdr>
        </w:div>
        <w:div w:id="367536121">
          <w:marLeft w:val="0"/>
          <w:marRight w:val="0"/>
          <w:marTop w:val="0"/>
          <w:marBottom w:val="0"/>
          <w:divBdr>
            <w:top w:val="none" w:sz="0" w:space="0" w:color="auto"/>
            <w:left w:val="none" w:sz="0" w:space="0" w:color="auto"/>
            <w:bottom w:val="none" w:sz="0" w:space="0" w:color="auto"/>
            <w:right w:val="none" w:sz="0" w:space="0" w:color="auto"/>
          </w:divBdr>
        </w:div>
        <w:div w:id="2104448256">
          <w:marLeft w:val="0"/>
          <w:marRight w:val="0"/>
          <w:marTop w:val="0"/>
          <w:marBottom w:val="0"/>
          <w:divBdr>
            <w:top w:val="none" w:sz="0" w:space="0" w:color="auto"/>
            <w:left w:val="none" w:sz="0" w:space="0" w:color="auto"/>
            <w:bottom w:val="none" w:sz="0" w:space="0" w:color="auto"/>
            <w:right w:val="none" w:sz="0" w:space="0" w:color="auto"/>
          </w:divBdr>
        </w:div>
        <w:div w:id="1874686732">
          <w:marLeft w:val="0"/>
          <w:marRight w:val="0"/>
          <w:marTop w:val="0"/>
          <w:marBottom w:val="0"/>
          <w:divBdr>
            <w:top w:val="none" w:sz="0" w:space="0" w:color="auto"/>
            <w:left w:val="none" w:sz="0" w:space="0" w:color="auto"/>
            <w:bottom w:val="none" w:sz="0" w:space="0" w:color="auto"/>
            <w:right w:val="none" w:sz="0" w:space="0" w:color="auto"/>
          </w:divBdr>
        </w:div>
        <w:div w:id="897939979">
          <w:marLeft w:val="0"/>
          <w:marRight w:val="0"/>
          <w:marTop w:val="0"/>
          <w:marBottom w:val="0"/>
          <w:divBdr>
            <w:top w:val="none" w:sz="0" w:space="0" w:color="auto"/>
            <w:left w:val="none" w:sz="0" w:space="0" w:color="auto"/>
            <w:bottom w:val="none" w:sz="0" w:space="0" w:color="auto"/>
            <w:right w:val="none" w:sz="0" w:space="0" w:color="auto"/>
          </w:divBdr>
        </w:div>
        <w:div w:id="420377131">
          <w:marLeft w:val="0"/>
          <w:marRight w:val="0"/>
          <w:marTop w:val="0"/>
          <w:marBottom w:val="0"/>
          <w:divBdr>
            <w:top w:val="none" w:sz="0" w:space="0" w:color="auto"/>
            <w:left w:val="none" w:sz="0" w:space="0" w:color="auto"/>
            <w:bottom w:val="none" w:sz="0" w:space="0" w:color="auto"/>
            <w:right w:val="none" w:sz="0" w:space="0" w:color="auto"/>
          </w:divBdr>
        </w:div>
        <w:div w:id="44062624">
          <w:marLeft w:val="0"/>
          <w:marRight w:val="0"/>
          <w:marTop w:val="0"/>
          <w:marBottom w:val="0"/>
          <w:divBdr>
            <w:top w:val="none" w:sz="0" w:space="0" w:color="auto"/>
            <w:left w:val="none" w:sz="0" w:space="0" w:color="auto"/>
            <w:bottom w:val="none" w:sz="0" w:space="0" w:color="auto"/>
            <w:right w:val="none" w:sz="0" w:space="0" w:color="auto"/>
          </w:divBdr>
        </w:div>
        <w:div w:id="1009410582">
          <w:marLeft w:val="0"/>
          <w:marRight w:val="0"/>
          <w:marTop w:val="0"/>
          <w:marBottom w:val="0"/>
          <w:divBdr>
            <w:top w:val="none" w:sz="0" w:space="0" w:color="auto"/>
            <w:left w:val="none" w:sz="0" w:space="0" w:color="auto"/>
            <w:bottom w:val="none" w:sz="0" w:space="0" w:color="auto"/>
            <w:right w:val="none" w:sz="0" w:space="0" w:color="auto"/>
          </w:divBdr>
        </w:div>
        <w:div w:id="402682362">
          <w:marLeft w:val="0"/>
          <w:marRight w:val="0"/>
          <w:marTop w:val="0"/>
          <w:marBottom w:val="0"/>
          <w:divBdr>
            <w:top w:val="none" w:sz="0" w:space="0" w:color="auto"/>
            <w:left w:val="none" w:sz="0" w:space="0" w:color="auto"/>
            <w:bottom w:val="none" w:sz="0" w:space="0" w:color="auto"/>
            <w:right w:val="none" w:sz="0" w:space="0" w:color="auto"/>
          </w:divBdr>
        </w:div>
        <w:div w:id="869950423">
          <w:marLeft w:val="0"/>
          <w:marRight w:val="0"/>
          <w:marTop w:val="0"/>
          <w:marBottom w:val="0"/>
          <w:divBdr>
            <w:top w:val="none" w:sz="0" w:space="0" w:color="auto"/>
            <w:left w:val="none" w:sz="0" w:space="0" w:color="auto"/>
            <w:bottom w:val="none" w:sz="0" w:space="0" w:color="auto"/>
            <w:right w:val="none" w:sz="0" w:space="0" w:color="auto"/>
          </w:divBdr>
        </w:div>
        <w:div w:id="1260748509">
          <w:marLeft w:val="0"/>
          <w:marRight w:val="0"/>
          <w:marTop w:val="0"/>
          <w:marBottom w:val="0"/>
          <w:divBdr>
            <w:top w:val="none" w:sz="0" w:space="0" w:color="auto"/>
            <w:left w:val="none" w:sz="0" w:space="0" w:color="auto"/>
            <w:bottom w:val="none" w:sz="0" w:space="0" w:color="auto"/>
            <w:right w:val="none" w:sz="0" w:space="0" w:color="auto"/>
          </w:divBdr>
        </w:div>
        <w:div w:id="419722338">
          <w:marLeft w:val="0"/>
          <w:marRight w:val="0"/>
          <w:marTop w:val="0"/>
          <w:marBottom w:val="0"/>
          <w:divBdr>
            <w:top w:val="none" w:sz="0" w:space="0" w:color="auto"/>
            <w:left w:val="none" w:sz="0" w:space="0" w:color="auto"/>
            <w:bottom w:val="none" w:sz="0" w:space="0" w:color="auto"/>
            <w:right w:val="none" w:sz="0" w:space="0" w:color="auto"/>
          </w:divBdr>
        </w:div>
        <w:div w:id="105394653">
          <w:marLeft w:val="0"/>
          <w:marRight w:val="0"/>
          <w:marTop w:val="0"/>
          <w:marBottom w:val="0"/>
          <w:divBdr>
            <w:top w:val="none" w:sz="0" w:space="0" w:color="auto"/>
            <w:left w:val="none" w:sz="0" w:space="0" w:color="auto"/>
            <w:bottom w:val="none" w:sz="0" w:space="0" w:color="auto"/>
            <w:right w:val="none" w:sz="0" w:space="0" w:color="auto"/>
          </w:divBdr>
        </w:div>
        <w:div w:id="2133742984">
          <w:marLeft w:val="0"/>
          <w:marRight w:val="0"/>
          <w:marTop w:val="0"/>
          <w:marBottom w:val="0"/>
          <w:divBdr>
            <w:top w:val="none" w:sz="0" w:space="0" w:color="auto"/>
            <w:left w:val="none" w:sz="0" w:space="0" w:color="auto"/>
            <w:bottom w:val="none" w:sz="0" w:space="0" w:color="auto"/>
            <w:right w:val="none" w:sz="0" w:space="0" w:color="auto"/>
          </w:divBdr>
        </w:div>
        <w:div w:id="1553157485">
          <w:marLeft w:val="0"/>
          <w:marRight w:val="0"/>
          <w:marTop w:val="0"/>
          <w:marBottom w:val="0"/>
          <w:divBdr>
            <w:top w:val="none" w:sz="0" w:space="0" w:color="auto"/>
            <w:left w:val="none" w:sz="0" w:space="0" w:color="auto"/>
            <w:bottom w:val="none" w:sz="0" w:space="0" w:color="auto"/>
            <w:right w:val="none" w:sz="0" w:space="0" w:color="auto"/>
          </w:divBdr>
        </w:div>
      </w:divsChild>
    </w:div>
    <w:div w:id="19841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74B6A2117878A43AE2B7390AEEB73E5" ma:contentTypeVersion="22" ma:contentTypeDescription="MINHAC Portal General" ma:contentTypeScope="" ma:versionID="975cee9b68d568e2ffe4239db6ca6b98">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6c06a93a7ee132cdf9b49b70f4878403"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xsd:simpleType>
        <xsd:restriction base="dms:DateTime"/>
      </xsd:simpleType>
    </xsd:element>
    <xsd:element name="MinhacAutor" ma:index="2" ma:displayName="Autor" ma:description="Autor" ma:internalName="MinhacAutor" ma:readOnly="false">
      <xsd:simpleType>
        <xsd:restriction base="dms:Text"/>
      </xsd:simpleType>
    </xsd:element>
    <xsd:element name="MinhacFechaInfo" ma:index="5" ma:displayName="Información de fecha" ma:default="" ma:description="Información de fecha" ma:format="DateOnly" ma:internalName="MinhacFechaInfo" ma:readOnly="false">
      <xsd:simpleType>
        <xsd:restriction base="dms:DateTime"/>
      </xsd:simpleType>
    </xsd:element>
    <xsd:element name="MinhacCargo_x005f_x0020_del_x005f_x0020_Responsable" ma:index="6" nillable="true" ma:displayName="Cargo Responsable" ma:description="Cargo Responsable" ma:hidden="true" ma:internalName="MinhacCargo_x0020_del_x0020_Responsable" ma:readOnly="false">
      <xsd:simpleType>
        <xsd:restriction base="dms:Text"/>
      </xsd:simpleType>
    </xsd:element>
    <xsd:element name="MinhacUnidad_x005f_x0020_Responsable" ma:index="7" nillable="true" ma:displayName="Unidad Responsable" ma:description="Unidad Responsable" ma:hidden="true" ma:internalName="MinhacUnidad_x0020_Responsable" ma:readOnly="false">
      <xsd:simpleType>
        <xsd:restriction base="dms:Text"/>
      </xsd:simpleType>
    </xsd:element>
    <xsd:element name="MinhacDescripci_x005f_x00f3_n" ma:index="9" nillable="true" ma:displayName="Descripción" ma:description="Descripción" ma:hidden="true" ma:internalName="MinhacDescripci_x00f3_n" ma:readOnly="false">
      <xsd:simpleType>
        <xsd:restriction base="dms:Note"/>
      </xsd:simpleType>
    </xsd:element>
    <xsd:element name="MinhacPalabras_x005f_x0020_clave" ma:index="10" nillable="true" ma:displayName="Palabras Clave" ma:default="" ma:description="Palabras Clave" ma:format="Dropdown" ma:hidden="true"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enumeration valu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hidden="true"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nhacAutor xmlns="25d85ab0-3809-4eca-a8fb-a26131ff49e9">SGIDP</MinhacAutor>
    <MinhacUnidad_x005f_x0020_Responsable xmlns="25d85ab0-3809-4eca-a8fb-a26131ff49e9" xsi:nil="true"/>
    <MinhacDescripci_x005f_x00f3_n xmlns="25d85ab0-3809-4eca-a8fb-a26131ff49e9" xsi:nil="true"/>
    <MinhacCargo_x005f_x0020_del_x005f_x0020_Responsable xmlns="25d85ab0-3809-4eca-a8fb-a26131ff49e9" xsi:nil="true"/>
    <MinhacCategoriasPorOrganigrama xmlns="25d85ab0-3809-4eca-a8fb-a26131ff49e9">
      <Value>46</Value>
    </MinhacCategoriasPorOrganigrama>
    <MinPortalIdiomaDocumentos xmlns="25d85ab0-3809-4eca-a8fb-a26131ff49e9">Español</MinPortalIdiomaDocumentos>
    <MinhacFechaInfo xmlns="25d85ab0-3809-4eca-a8fb-a26131ff49e9">2022-05-07T22:00:00+00:00</MinhacFechaInfo>
    <MinhacFecha_x005f_x0020_Caducidad xmlns="25d85ab0-3809-4eca-a8fb-a26131ff49e9" xsi:nil="true"/>
    <MinhacCategoriasGeneral xmlns="25d85ab0-3809-4eca-a8fb-a26131ff49e9">
      <Value>29</Value>
    </MinhacCategoriasGeneral>
    <MinhacCentroDirectivo xmlns="25d85ab0-3809-4eca-a8fb-a26131ff49e9"/>
    <MinhacPalabras_x005f_x0020_clave xmlns="25d85ab0-3809-4eca-a8fb-a26131ff49e9"/>
  </documentManagement>
</p:properties>
</file>

<file path=customXml/itemProps1.xml><?xml version="1.0" encoding="utf-8"?>
<ds:datastoreItem xmlns:ds="http://schemas.openxmlformats.org/officeDocument/2006/customXml" ds:itemID="{67AD53A7-7170-4565-96F1-EF9A8A372750}">
  <ds:schemaRefs>
    <ds:schemaRef ds:uri="http://schemas.openxmlformats.org/officeDocument/2006/bibliography"/>
  </ds:schemaRefs>
</ds:datastoreItem>
</file>

<file path=customXml/itemProps2.xml><?xml version="1.0" encoding="utf-8"?>
<ds:datastoreItem xmlns:ds="http://schemas.openxmlformats.org/officeDocument/2006/customXml" ds:itemID="{8B9045C2-8D66-45FA-8DD8-A7ED733CF9D4}"/>
</file>

<file path=customXml/itemProps3.xml><?xml version="1.0" encoding="utf-8"?>
<ds:datastoreItem xmlns:ds="http://schemas.openxmlformats.org/officeDocument/2006/customXml" ds:itemID="{663C2C03-5217-4481-919C-BAFBABD38A51}"/>
</file>

<file path=customXml/itemProps4.xml><?xml version="1.0" encoding="utf-8"?>
<ds:datastoreItem xmlns:ds="http://schemas.openxmlformats.org/officeDocument/2006/customXml" ds:itemID="{23F91859-BC7B-40CB-ABA2-534425D4C296}"/>
</file>

<file path=docProps/app.xml><?xml version="1.0" encoding="utf-8"?>
<Properties xmlns="http://schemas.openxmlformats.org/officeDocument/2006/extended-properties" xmlns:vt="http://schemas.openxmlformats.org/officeDocument/2006/docPropsVTypes">
  <Template>Normal</Template>
  <TotalTime>29</TotalTime>
  <Pages>17</Pages>
  <Words>8749</Words>
  <Characters>48122</Characters>
  <Application>Microsoft Office Word</Application>
  <DocSecurity>0</DocSecurity>
  <Lines>401</Lines>
  <Paragraphs>113</Paragraphs>
  <ScaleCrop>false</ScaleCrop>
  <Company>Ministerio de hacienda</Company>
  <LinksUpToDate>false</LinksUpToDate>
  <CharactersWithSpaces>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7/2022 de residuos y suelos contaminados</dc:title>
  <dc:subject/>
  <dc:creator>Villoslada Gutiérrez, María</dc:creator>
  <cp:keywords/>
  <dc:description/>
  <cp:lastModifiedBy>Villoslada Gutiérrez, María</cp:lastModifiedBy>
  <cp:revision>7</cp:revision>
  <dcterms:created xsi:type="dcterms:W3CDTF">2023-03-21T11:27:00Z</dcterms:created>
  <dcterms:modified xsi:type="dcterms:W3CDTF">2023-03-21T11:56:00Z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0x0101003CD58CDD608044B4830326AB27386A3A00E74B6A2117878A43AE2B7390AEEB73E5</vt:lpwstr>
  </property>
  <property fmtid="{D5CDD505-2E9C-101B-9397-08002B2CF9AE}" pid="4" name="CategoriasGeneral">
    <vt:lpwstr/>
  </property>
  <property fmtid="{D5CDD505-2E9C-101B-9397-08002B2CF9AE}" pid="5" name="Order">
    <vt:r8>3536400</vt:r8>
  </property>
  <property fmtid="{D5CDD505-2E9C-101B-9397-08002B2CF9AE}" pid="7" name="CentroDirectivo">
    <vt:lpwstr/>
  </property>
  <property fmtid="{D5CDD505-2E9C-101B-9397-08002B2CF9AE}" pid="8" name="xd_Signature">
    <vt:bool>false</vt:bool>
  </property>
  <property fmtid="{D5CDD505-2E9C-101B-9397-08002B2CF9AE}" pid="9" name="Unidad Responsable">
    <vt:lpwstr/>
  </property>
  <property fmtid="{D5CDD505-2E9C-101B-9397-08002B2CF9AE}" pid="10" name="xd_ProgID">
    <vt:lpwstr/>
  </property>
  <property fmtid="{D5CDD505-2E9C-101B-9397-08002B2CF9AE}" pid="11" name="CategoriasPorOrganigrama">
    <vt:lpwstr/>
  </property>
  <property fmtid="{D5CDD505-2E9C-101B-9397-08002B2CF9AE}" pid="12" name="_SourceUrl">
    <vt:lpwstr/>
  </property>
  <property fmtid="{D5CDD505-2E9C-101B-9397-08002B2CF9AE}" pid="13" name="_SharedFileIndex">
    <vt:lpwstr/>
  </property>
  <property fmtid="{D5CDD505-2E9C-101B-9397-08002B2CF9AE}" pid="14" name="Cargo del Responsable">
    <vt:lpwstr/>
  </property>
  <property fmtid="{D5CDD505-2E9C-101B-9397-08002B2CF9AE}" pid="15" name="Palabras clave">
    <vt:lpwstr/>
  </property>
  <property fmtid="{D5CDD505-2E9C-101B-9397-08002B2CF9AE}" pid="16" name="Autor">
    <vt:lpwstr/>
  </property>
  <property fmtid="{D5CDD505-2E9C-101B-9397-08002B2CF9AE}" pid="17" name="TemplateUrl">
    <vt:lpwstr/>
  </property>
  <property fmtid="{D5CDD505-2E9C-101B-9397-08002B2CF9AE}" pid="18" name="Descripción">
    <vt:lpwstr/>
  </property>
</Properties>
</file>